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fefda9109505e0aad2e821ccbc34465afb07fc"/>
    <w:p>
      <w:pPr>
        <w:pStyle w:val="Heading1"/>
      </w:pPr>
      <w:r>
        <w:t xml:space="preserve">Copenhagen, meet Green SM — presentation script</w:t>
      </w:r>
    </w:p>
    <w:bookmarkStart w:id="20" w:name="overview"/>
    <w:p>
      <w:pPr>
        <w:pStyle w:val="Heading2"/>
      </w:pPr>
      <w:r>
        <w:t xml:space="preserve">Overview</w:t>
      </w:r>
    </w:p>
    <w:p>
      <w:pPr>
        <w:pStyle w:val="FirstParagraph"/>
      </w:pPr>
      <w:r>
        <w:t xml:space="preserve">[Point to the title, then trace the three rows. Read the speech, not these directions or the citations. Speaker A/B/C are provisional roles for the group to allocate.]</w:t>
      </w:r>
    </w:p>
    <w:p>
      <w:pPr>
        <w:pStyle w:val="BodyText"/>
      </w:pPr>
      <w:r>
        <w:t xml:space="preserve">Our poster presents a twelve-month market-entry plan for Green SM’s local electric taxi service in Copenhagen, from November 2026 to October 2027. The plan connects three strengths: electric vehicles, smart booking and direct control of service delivery.</w:t>
      </w:r>
    </w:p>
    <w:p>
      <w:pPr>
        <w:pStyle w:val="BodyText"/>
      </w:pPr>
      <w:r>
        <w:t xml:space="preserve">The upper row explains the company, customers, positioning and identity. The middle row shows how we attract customers, sell rides, fund the activities and measure results. The final row explains innovation and business growth.</w:t>
      </w:r>
    </w:p>
    <w:p>
      <w:pPr>
        <w:pStyle w:val="BodyText"/>
      </w:pPr>
      <w:r>
        <w:t xml:space="preserve">Our central proposal is to turn a first paid ride into repeat use. The figures are proposed targets, not achieved results.</w:t>
      </w:r>
    </w:p>
    <w:bookmarkEnd w:id="20"/>
    <w:bookmarkStart w:id="21" w:name="companybusiness-introduction"/>
    <w:p>
      <w:pPr>
        <w:pStyle w:val="Heading2"/>
      </w:pPr>
      <w:r>
        <w:t xml:space="preserve">1. Company/Business Introduction</w:t>
      </w:r>
    </w:p>
    <w:p>
      <w:pPr>
        <w:pStyle w:val="FirstParagraph"/>
      </w:pPr>
      <w:r>
        <w:t xml:space="preserve">[Point to the app, taxi, the 590 label and the flags.]</w:t>
      </w:r>
    </w:p>
    <w:p>
      <w:pPr>
        <w:pStyle w:val="BodyText"/>
      </w:pPr>
      <w:r>
        <w:t xml:space="preserve">Green SM is a Vietnamese electric mobility brand, founded in March 2023 and backed by Vingroup. It combines app booking with an owned fleet and employed drivers (Green Future USA Inc., no date c, pp. 2–3; Konkurrence- og Forbrugerstyrelsen, 2026b, p. 174).</w:t>
      </w:r>
    </w:p>
    <w:p>
      <w:pPr>
        <w:pStyle w:val="BodyText"/>
      </w:pPr>
      <w:r>
        <w:t xml:space="preserve">The flags show international presence. Vietnam is the home market, Denmark our focus, and the Netherlands a pilot (Green SM, 2026a, p. 1).</w:t>
      </w:r>
    </w:p>
    <w:p>
      <w:pPr>
        <w:pStyle w:val="BodyText"/>
      </w:pPr>
      <w:r>
        <w:t xml:space="preserve">Green SM officially launched in Copenhagen on 30 July 2026. Its 590 registered cars are potential capacity, not active taxis, and it has no concrete plans yet beyond Copenhagen (Konkurrence- og Forbrugerstyrelsen, 2026b, p. 175). Our plan therefore supports the Copenhagen entry period. The service in scope is Green SM Taxi: electric taxi rides booked through the app (Green SM, 2026d, pp. 1–2).</w:t>
      </w:r>
    </w:p>
    <w:bookmarkEnd w:id="21"/>
    <w:bookmarkStart w:id="22" w:name="target-market-analysis"/>
    <w:p>
      <w:pPr>
        <w:pStyle w:val="Heading2"/>
      </w:pPr>
      <w:r>
        <w:t xml:space="preserve">2. Target Market Analysis</w:t>
      </w:r>
    </w:p>
    <w:p>
      <w:pPr>
        <w:pStyle w:val="FirstParagraph"/>
      </w:pPr>
      <w:r>
        <w:t xml:space="preserve">[Point to the highlighted 25–44 bar, the selection connector, the Later line and the rider profile.]</w:t>
      </w:r>
    </w:p>
    <w:p>
      <w:pPr>
        <w:pStyle w:val="BodyText"/>
      </w:pPr>
      <w:r>
        <w:t xml:space="preserve">Our priority is Copenhagen residents aged 25–44 who pay personally, already use taxis and make recurring local trips within the service area. Age alone does not identify a likely customer.</w:t>
      </w:r>
    </w:p>
    <w:p>
      <w:pPr>
        <w:pStyle w:val="BodyText"/>
      </w:pPr>
      <w:r>
        <w:t xml:space="preserve">The population data gives us an age pool of 269,277 people, or 40.2 per cent of all city residents. That is the population opportunity, not the number of customers we expect to acquire (Statistics Denmark, 2026b, pp. 6–8).</w:t>
      </w:r>
    </w:p>
    <w:p>
      <w:pPr>
        <w:pStyle w:val="BodyText"/>
      </w:pPr>
      <w:r>
        <w:t xml:space="preserve">We prioritise existing taxi users to test switching to Green SM. Recurring trips give us an opportunity to measure repeat behaviour. The proposed rider profile adds three needs: value for money, control of the trip and fair treatment.</w:t>
      </w:r>
    </w:p>
    <w:p>
      <w:pPr>
        <w:pStyle w:val="BodyText"/>
      </w:pPr>
      <w:r>
        <w:t xml:space="preserve">Visitors and business accounts come later. We can serve their enquiries, but year-one spending concentrates on recurring local trips because they can produce repeat use. The age choice remains a hypothesis for local research in the first two months.</w:t>
      </w:r>
    </w:p>
    <w:bookmarkEnd w:id="22"/>
    <w:bookmarkStart w:id="23" w:name="positioning-strategy"/>
    <w:p>
      <w:pPr>
        <w:pStyle w:val="Heading2"/>
      </w:pPr>
      <w:r>
        <w:t xml:space="preserve">3. Positioning Strategy</w:t>
      </w:r>
    </w:p>
    <w:p>
      <w:pPr>
        <w:pStyle w:val="FirstParagraph"/>
      </w:pPr>
      <w:r>
        <w:t xml:space="preserve">[Compare both columns, point to the Shared line, then the direct-control bracket.]</w:t>
      </w:r>
    </w:p>
    <w:p>
      <w:pPr>
        <w:pStyle w:val="BodyText"/>
      </w:pPr>
      <w:r>
        <w:t xml:space="preserve">Our positioning is: electric rides, one managed experience.</w:t>
      </w:r>
    </w:p>
    <w:p>
      <w:pPr>
        <w:pStyle w:val="BodyText"/>
      </w:pPr>
      <w:r>
        <w:t xml:space="preserve">Competitors already offer electric rides and app booking, through DRIVR with Uber and through Bolt after its Viggo acquisition. Published day fares are close too: Green SM, Dantaxi and Drivr all start at DKK39 to 42 (DRIVR, no date, p. 2; Viggo, 2025, p. 2; Green SM Denmark ApS, no date b, p. 3; Konkurrence- og Forbrugerstyrelsen, 2026b, p. 49). Neither these features nor price can carry our differentiation.</w:t>
      </w:r>
    </w:p>
    <w:p>
      <w:pPr>
        <w:pStyle w:val="BodyText"/>
      </w:pPr>
      <w:r>
        <w:t xml:space="preserve">Green SM’s owned app, owned fleet and employed drivers give it a way to manage standards across the journey. We propose turning that operating model into a customer benefit: a consistent experience from booking to the ride and after-sales help (Konkurrence- og Forbrugerstyrelsen, 2026b, p. 174).</w:t>
      </w:r>
    </w:p>
    <w:p>
      <w:pPr>
        <w:pStyle w:val="BodyText"/>
      </w:pPr>
      <w:r>
        <w:t xml:space="preserve">The company promises cleaner, quieter and more reliable rides; ownership gives control, but does not by itself prove better service. Uber must also sell part of Dantaxi, so the market may shift (Green SM Denmark ApS, no date c, p. 2; Konkurrence- og Forbrugerstyrelsen, 2026a, p. 1).</w:t>
      </w:r>
    </w:p>
    <w:bookmarkEnd w:id="23"/>
    <w:bookmarkStart w:id="24" w:name="branding-and-identity"/>
    <w:p>
      <w:pPr>
        <w:pStyle w:val="Heading2"/>
      </w:pPr>
      <w:r>
        <w:t xml:space="preserve">4. Branding and Identity</w:t>
      </w:r>
    </w:p>
    <w:p>
      <w:pPr>
        <w:pStyle w:val="FirstParagraph"/>
      </w:pPr>
      <w:r>
        <w:t xml:space="preserve">[Point to the logo, slogan, colour swatches and app illustration, then the Danish page in Section 5.]</w:t>
      </w:r>
    </w:p>
    <w:p>
      <w:pPr>
        <w:pStyle w:val="BodyText"/>
      </w:pPr>
      <w:r>
        <w:t xml:space="preserve">We retain Green SM’s corporate identity. Green SM stands for Green and Smart Mobility, and the slogan is Go Green For a Green Future.</w:t>
      </w:r>
    </w:p>
    <w:p>
      <w:pPr>
        <w:pStyle w:val="BodyText"/>
      </w:pPr>
      <w:r>
        <w:t xml:space="preserve">The poster shows the New Cyan and New Yellow palette, Xanh Display 2.0 and the Modern Liquid Glass app direction. These elements come from the existing identity, rather than a separate Copenhagen redesign (Aurora Vietnam and InSpace Creative, 2026).</w:t>
      </w:r>
    </w:p>
    <w:p>
      <w:pPr>
        <w:pStyle w:val="BodyText"/>
      </w:pPr>
      <w:r>
        <w:t xml:space="preserve">Our local adaptation is Danish first and English second. The Copenhagen page shows the example message: Elektrisk taxa. Tjek prisen. Book i appen. In English: electric taxi, check the price, book in the app.</w:t>
      </w:r>
    </w:p>
    <w:p>
      <w:pPr>
        <w:pStyle w:val="BodyText"/>
      </w:pPr>
      <w:r>
        <w:t xml:space="preserve">Branding helps customers recognise the offer. Service must then support the electric and smart positioning.</w:t>
      </w:r>
    </w:p>
    <w:p>
      <w:pPr>
        <w:pStyle w:val="BodyText"/>
      </w:pPr>
      <w:r>
        <w:t xml:space="preserve">[Handover, if the group uses the proposed split: The next part shows how this customer and brand choice becomes a marketing and sales plan.]</w:t>
      </w:r>
    </w:p>
    <w:bookmarkEnd w:id="24"/>
    <w:bookmarkStart w:id="25" w:name="digital-marketing-tactics"/>
    <w:p>
      <w:pPr>
        <w:pStyle w:val="Heading2"/>
      </w:pPr>
      <w:r>
        <w:t xml:space="preserve">5. Digital Marketing Tactics</w:t>
      </w:r>
    </w:p>
    <w:p>
      <w:pPr>
        <w:pStyle w:val="FirstParagraph"/>
      </w:pPr>
      <w:r>
        <w:t xml:space="preserve">[Start with the two survey blocks, then follow page → app → ride and the voucher.]</w:t>
      </w:r>
    </w:p>
    <w:p>
      <w:pPr>
        <w:pStyle w:val="BodyText"/>
      </w:pPr>
      <w:r>
        <w:t xml:space="preserve">The customer evidence points to price and app habits. In a national Danish sample of 1,005 respondents, 40–50 per cent reported having one taxi app installed. In a separate Capital Region sample of 79, 57 per cent selected lower price and 22 per cent their usual app as reasons for their last platform-app choice. With only 79 respondents, each share has a margin of about eleven percentage points. Multiple answers were allowed, and neither sample is specific to residents aged 25–44 (Konkurrence- og Forbrugerstyrelsen, 2026b, pp. 150–151, 194).</w:t>
      </w:r>
    </w:p>
    <w:p>
      <w:pPr>
        <w:pStyle w:val="BodyText"/>
      </w:pPr>
      <w:r>
        <w:t xml:space="preserve">This supports testing a bounded incentive to try another app. The 4Ps connect the offer: electric rides and service, a clear fare and trial offer, page-to-app booking, and promotion through search, social, content and reminders.</w:t>
      </w:r>
    </w:p>
    <w:p>
      <w:pPr>
        <w:pStyle w:val="BodyText"/>
      </w:pPr>
      <w:r>
        <w:t xml:space="preserve">Our omnichannel journey keeps fares, offers and help consistent from the Copenhagen page to the app and the ride. The page is our owned content, answering a search such as bestil taxa.</w:t>
      </w:r>
    </w:p>
    <w:p>
      <w:pPr>
        <w:pStyle w:val="BodyText"/>
      </w:pPr>
      <w:r>
        <w:t xml:space="preserve">We propose testing DKK15 against DKK30 off the first paid ride, with at most 400 riders and one offer each. The launch offer of five 25 per cent vouchers ran until 30 September 2026 (Lewis, 2026, p. 1). After launch, we test the smallest incentive that converts, then judge it on ninety-day repeat.</w:t>
      </w:r>
    </w:p>
    <w:p>
      <w:pPr>
        <w:pStyle w:val="BodyText"/>
      </w:pPr>
      <w:r>
        <w:t xml:space="preserve">With opt-in, a Customer Data Platform would join customer records, and Big Data patterns would feed human-reviewed AI reminders. This is a proposal, not a confirmed local system (Customer Data Platform Institute, no date).</w:t>
      </w:r>
    </w:p>
    <w:bookmarkEnd w:id="25"/>
    <w:bookmarkStart w:id="26" w:name="sales-strategies"/>
    <w:p>
      <w:pPr>
        <w:pStyle w:val="Heading2"/>
      </w:pPr>
      <w:r>
        <w:t xml:space="preserve">6. Sales Strategies</w:t>
      </w:r>
    </w:p>
    <w:p>
      <w:pPr>
        <w:pStyle w:val="FirstParagraph"/>
      </w:pPr>
      <w:r>
        <w:t xml:space="preserve">[Trace Discover → First paid ride → Experience → Feedback → Repeat.]</w:t>
      </w:r>
    </w:p>
    <w:p>
      <w:pPr>
        <w:pStyle w:val="BodyText"/>
      </w:pPr>
      <w:r>
        <w:t xml:space="preserve">Marketing creates interest. The sales process turns that interest into completed, paid trips.</w:t>
      </w:r>
    </w:p>
    <w:p>
      <w:pPr>
        <w:pStyle w:val="BodyText"/>
      </w:pPr>
      <w:r>
        <w:t xml:space="preserve">At Discover, search and social generate leads, tracked by click-through rate and cost per click. A fare check develops interest into a booking prospect, measured through app installs. The first-ride offer supports conversion, but success means a completed paid ride, not an app download.</w:t>
      </w:r>
    </w:p>
    <w:p>
      <w:pPr>
        <w:pStyle w:val="BodyText"/>
      </w:pPr>
      <w:r>
        <w:t xml:space="preserve">The next stage is Experience. The app, driver, vehicle and customer care should deliver the same standard. If that experience disappoints, another voucher cannot repair the problem on its own.</w:t>
      </w:r>
    </w:p>
    <w:p>
      <w:pPr>
        <w:pStyle w:val="BodyText"/>
      </w:pPr>
      <w:r>
        <w:t xml:space="preserve">After the ride, we ask for a rating, resolve problems and invite unpaid reviews, never paid ones.</w:t>
      </w:r>
    </w:p>
    <w:p>
      <w:pPr>
        <w:pStyle w:val="BodyText"/>
      </w:pPr>
      <w:r>
        <w:t xml:space="preserve">Repeat use is supported by opt-in reminders and tested offers. A tailored monthly package would need suitable trip frequency and workable costs. Green SM’s Vietnamese membership offers are a precedent, not proof of Danish demand (GSM Green and Smart Mobility Joint Stock Company, 2024b, p. 1).</w:t>
      </w:r>
    </w:p>
    <w:bookmarkEnd w:id="26"/>
    <w:bookmarkStart w:id="27" w:name="budget-and-resource-allocation"/>
    <w:p>
      <w:pPr>
        <w:pStyle w:val="Heading2"/>
      </w:pPr>
      <w:r>
        <w:t xml:space="preserve">7. Budget and Resource Allocation</w:t>
      </w:r>
    </w:p>
    <w:p>
      <w:pPr>
        <w:pStyle w:val="FirstParagraph"/>
      </w:pPr>
      <w:r>
        <w:t xml:space="preserve">[Point to the total, largest bars, unit check, hours and M4/M6 reviews. Do not read every row.]</w:t>
      </w:r>
    </w:p>
    <w:p>
      <w:pPr>
        <w:pStyle w:val="BodyText"/>
      </w:pPr>
      <w:r>
        <w:t xml:space="preserve">The proposed marketing budget is DKK600,000 for twelve months, excluding VAT.</w:t>
      </w:r>
    </w:p>
    <w:p>
      <w:pPr>
        <w:pStyle w:val="BodyText"/>
      </w:pPr>
      <w:r>
        <w:t xml:space="preserve">Team resources are the largest allocation at DKK276,000. The planning allowance is 460 hours at DKK600 per hour, covering checks, creative localisation, campaigns, and marketing CRM and help coordination. Search receives DKK108,000 and social DKK90,000, giving DKK198,000 for paid acquisition.</w:t>
      </w:r>
    </w:p>
    <w:p>
      <w:pPr>
        <w:pStyle w:val="BodyText"/>
      </w:pPr>
      <w:r>
        <w:t xml:space="preserve">The remaining allocations fund screens, tools, the first-ride voucher test and contingency. The voucher ceiling is DKK12,000: 400 riders multiplied by a maximum DKK30 each, one shared reserve for both offer levels. The two consideration-survey waves will be paid from contingency once quoted.</w:t>
      </w:r>
    </w:p>
    <w:p>
      <w:pPr>
        <w:pStyle w:val="BodyText"/>
      </w:pPr>
      <w:r>
        <w:t xml:space="preserve">Spending is released through reviews. By month four, cumulative commitments are DKK177,000. By month six, they are DKK265,000, leaving DKK335,000 held for later decisions. These figures are cumulative.</w:t>
      </w:r>
    </w:p>
    <w:p>
      <w:pPr>
        <w:pStyle w:val="BodyText"/>
      </w:pPr>
      <w:r>
        <w:t xml:space="preserve">The budget excludes app build, cars, drivers, charging and frontline operations. New dispatch, chatbot and subscription pilots need separate costing.</w:t>
      </w:r>
    </w:p>
    <w:p>
      <w:pPr>
        <w:pStyle w:val="BodyText"/>
      </w:pPr>
      <w:r>
        <w:t xml:space="preserve">Our year-one objective is a controlled entry investment. As a unit check, we assume a DKK68 contribution per ride, 30 per cent of a standardised DKK227 trip. On that assumption, the DKK165 acquisition cost is repaid after about 2.4 rides (Green SM Denmark ApS, no date b, p. 3). First-year break-even is not required, but costs and repeat behaviour guide further spending.</w:t>
      </w:r>
    </w:p>
    <w:p>
      <w:pPr>
        <w:pStyle w:val="BodyText"/>
      </w:pPr>
      <w:r>
        <w:t xml:space="preserve">[Handover, if using the proposed split: The next speaker explains how the reviews decide whether this spending continues.]</w:t>
      </w:r>
    </w:p>
    <w:bookmarkEnd w:id="27"/>
    <w:bookmarkStart w:id="28" w:name="measurement-and-evaluation"/>
    <w:p>
      <w:pPr>
        <w:pStyle w:val="Heading2"/>
      </w:pPr>
      <w:r>
        <w:t xml:space="preserve">8. Measurement and Evaluation</w:t>
      </w:r>
    </w:p>
    <w:p>
      <w:pPr>
        <w:pStyle w:val="FirstParagraph"/>
      </w:pPr>
      <w:r>
        <w:t xml:space="preserve">[Point to the five target cards, then the service and review rows.]</w:t>
      </w:r>
    </w:p>
    <w:p>
      <w:pPr>
        <w:pStyle w:val="BodyText"/>
      </w:pPr>
      <w:r>
        <w:t xml:space="preserve">The twelve-month targets cover consideration, paid trial, usage, retention and acquisition cost. We propose 1,200 distinct first paid riders, 2,500 paid rides from the acquired group, at least 50 per cent repeat within ninety days among riders with full follow-up, and paid acquisition cost no higher than DKK165 per rider. These targets count paid-campaign riders only, not all Green SM trips.</w:t>
      </w:r>
    </w:p>
    <w:p>
      <w:pPr>
        <w:pStyle w:val="BodyText"/>
      </w:pPr>
      <w:r>
        <w:t xml:space="preserve">DKK165 means search and social spending divided by distinct first paid riders attributed to those campaigns. DKK198,000 divided by 1,200 gives DKK165. It is not the full marketing budget divided by customers.</w:t>
      </w:r>
    </w:p>
    <w:p>
      <w:pPr>
        <w:pStyle w:val="BodyText"/>
      </w:pPr>
      <w:r>
        <w:t xml:space="preserve">Consideration should increase by ten percentage points between the month-one-to-two baseline survey and month twelve, using the same target definition and about 400 respondents per wave.</w:t>
      </w:r>
    </w:p>
    <w:p>
      <w:pPr>
        <w:pStyle w:val="BodyText"/>
      </w:pPr>
      <w:r>
        <w:t xml:space="preserve">Service floors are at least 95 per cent completion, no more than 2 per cent service-caused cancellations and at least 90 per cent help within twenty-four hours.</w:t>
      </w:r>
    </w:p>
    <w:p>
      <w:pPr>
        <w:pStyle w:val="BodyText"/>
      </w:pPr>
      <w:r>
        <w:t xml:space="preserve">Month four requires at least 200 first paid riders. Month six requires 450 cumulatively, acquisition cost no higher than DKK175 and at least 35 per cent repeat in fully observed ninety-day cohorts. Incomplete follow-up postpones the scale decision. Organic and referral demand are tracked separately.</w:t>
      </w:r>
    </w:p>
    <w:bookmarkEnd w:id="28"/>
    <w:bookmarkStart w:id="29" w:name="creativity-and-innovation"/>
    <w:p>
      <w:pPr>
        <w:pStyle w:val="Heading2"/>
      </w:pPr>
      <w:r>
        <w:t xml:space="preserve">9. Creativity and Innovation</w:t>
      </w:r>
    </w:p>
    <w:p>
      <w:pPr>
        <w:pStyle w:val="FirstParagraph"/>
      </w:pPr>
      <w:r>
        <w:t xml:space="preserve">[Point to each of the four pilot boxes, then the neuromarketing line below them.]</w:t>
      </w:r>
    </w:p>
    <w:p>
      <w:pPr>
        <w:pStyle w:val="BodyText"/>
      </w:pPr>
      <w:r>
        <w:t xml:space="preserve">AI targeting would use consented customer data to make reminders more relevant. AI dispatch would test whether matching improves against a local baseline, checking fulfilment and cancellations alongside matching time. A faster match is not useful if service quality falls.</w:t>
      </w:r>
    </w:p>
    <w:p>
      <w:pPr>
        <w:pStyle w:val="BodyText"/>
      </w:pPr>
      <w:r>
        <w:t xml:space="preserve">Connected care would use one trip identifier across the app, driver or vehicle, and support. Ratings and customer-care records could reveal where the journey breaks down. An FAQ chatbot would hand unresolved problems to a person.</w:t>
      </w:r>
    </w:p>
    <w:p>
      <w:pPr>
        <w:pStyle w:val="BodyText"/>
      </w:pPr>
      <w:r>
        <w:t xml:space="preserve">Personalised packages would match actual trip frequency. We would compare pay-per-trip with prepaid or monthly offers, checking retention and contribution. Contribution means the amount left after the relevant costs of serving those rides. The pilot stops if retention or margin falls.</w:t>
      </w:r>
    </w:p>
    <w:p>
      <w:pPr>
        <w:pStyle w:val="BodyText"/>
      </w:pPr>
      <w:r>
        <w:t xml:space="preserve">Below the boxes, a neuromarketing test compares a calm-ride advertisement with a fare-first one, measuring attention through click-through and recall in the survey. We do not claim brain-imaging research.</w:t>
      </w:r>
    </w:p>
    <w:p>
      <w:pPr>
        <w:pStyle w:val="BodyText"/>
      </w:pPr>
      <w:r>
        <w:t xml:space="preserve">These pilots are locally untested and need funding and data access first. Innovation earns its place by improving a measured customer or commercial outcome.</w:t>
      </w:r>
    </w:p>
    <w:bookmarkEnd w:id="29"/>
    <w:bookmarkStart w:id="30" w:name="alignment-with-business-objectives"/>
    <w:p>
      <w:pPr>
        <w:pStyle w:val="Heading2"/>
      </w:pPr>
      <w:r>
        <w:t xml:space="preserve">10. Alignment with Business Objectives</w:t>
      </w:r>
    </w:p>
    <w:p>
      <w:pPr>
        <w:pStyle w:val="FirstParagraph"/>
      </w:pPr>
      <w:r>
        <w:t xml:space="preserve">[Point to the four business goals, then return to the whole poster.]</w:t>
      </w:r>
    </w:p>
    <w:p>
      <w:pPr>
        <w:pStyle w:val="BodyText"/>
      </w:pPr>
      <w:r>
        <w:t xml:space="preserve">The plan supports four goals: stable local operations, local recognition, green and smart mobility, and sustainable growth.</w:t>
      </w:r>
    </w:p>
    <w:p>
      <w:pPr>
        <w:pStyle w:val="BodyText"/>
      </w:pPr>
      <w:r>
        <w:t xml:space="preserve">Marketing generates trial. Service and customer care support repeat use. Resources and measurement control when we expand.</w:t>
      </w:r>
    </w:p>
    <w:p>
      <w:pPr>
        <w:pStyle w:val="BodyText"/>
      </w:pPr>
      <w:r>
        <w:t xml:space="preserve">At month twelve, the decision is to renew, revise or stop, based on consideration, paid trial, service, mature repeat behaviour and contribution.</w:t>
      </w:r>
    </w:p>
    <w:p>
      <w:pPr>
        <w:pStyle w:val="BodyText"/>
      </w:pPr>
      <w:r>
        <w:t xml:space="preserve">Copenhagen, meet Green SM is an invitation to try the service. The business test is whether customers choose it again at a cost the business can sustain.</w:t>
      </w:r>
    </w:p>
    <w:bookmarkEnd w:id="30"/>
    <w:bookmarkStart w:id="45" w:name="references"/>
    <w:p>
      <w:pPr>
        <w:pStyle w:val="Heading2"/>
      </w:pPr>
      <w:r>
        <w:t xml:space="preserve">References</w:t>
      </w:r>
    </w:p>
    <w:p>
      <w:pPr>
        <w:pStyle w:val="FirstParagraph"/>
      </w:pPr>
      <w:r>
        <w:t xml:space="preserve">Aurora Vietnam and InSpace Creative (2026)</w:t>
      </w:r>
      <w:r>
        <w:t xml:space="preserve"> </w:t>
      </w:r>
      <w:r>
        <w:rPr>
          <w:iCs/>
          <w:i/>
        </w:rPr>
        <w:t xml:space="preserve">Xanh SM - Rebranding</w:t>
      </w:r>
      <w:r>
        <w:t xml:space="preserve">. Available at:</w:t>
      </w:r>
      <w:r>
        <w:t xml:space="preserve"> </w:t>
      </w:r>
      <w:hyperlink r:id="rId31">
        <w:r>
          <w:rPr>
            <w:rStyle w:val="Hyperlink"/>
          </w:rPr>
          <w:t xml:space="preserve">https://www.behance.net/gallery/248521783/Xanh-SM-Rebranding</w:t>
        </w:r>
      </w:hyperlink>
      <w:r>
        <w:t xml:space="preserve"> </w:t>
      </w:r>
      <w:r>
        <w:t xml:space="preserve">(Accessed: 5 October 2026).</w:t>
      </w:r>
    </w:p>
    <w:p>
      <w:pPr>
        <w:pStyle w:val="BodyText"/>
      </w:pPr>
      <w:r>
        <w:t xml:space="preserve">Customer Data Platform Institute (no date)</w:t>
      </w:r>
      <w:r>
        <w:t xml:space="preserve"> </w:t>
      </w:r>
      <w:r>
        <w:rPr>
          <w:iCs/>
          <w:i/>
        </w:rPr>
        <w:t xml:space="preserve">What is a customer data platform (CDP)?</w:t>
      </w:r>
      <w:r>
        <w:t xml:space="preserve"> </w:t>
      </w:r>
      <w:r>
        <w:t xml:space="preserve">Available at:</w:t>
      </w:r>
      <w:r>
        <w:t xml:space="preserve"> </w:t>
      </w:r>
      <w:hyperlink r:id="rId32">
        <w:r>
          <w:rPr>
            <w:rStyle w:val="Hyperlink"/>
          </w:rPr>
          <w:t xml:space="preserve">https://www.cdpinstitute.org/what-is-a-cdp/</w:t>
        </w:r>
      </w:hyperlink>
      <w:r>
        <w:t xml:space="preserve"> </w:t>
      </w:r>
      <w:r>
        <w:t xml:space="preserve">(Accessed: 4 October 2026).</w:t>
      </w:r>
    </w:p>
    <w:p>
      <w:pPr>
        <w:pStyle w:val="BodyText"/>
      </w:pPr>
      <w:r>
        <w:t xml:space="preserve">DRIVR (no date)</w:t>
      </w:r>
      <w:r>
        <w:t xml:space="preserve"> </w:t>
      </w:r>
      <w:r>
        <w:rPr>
          <w:iCs/>
          <w:i/>
        </w:rPr>
        <w:t xml:space="preserve">Om DRIVR</w:t>
      </w:r>
      <w:r>
        <w:t xml:space="preserve">. Available at:</w:t>
      </w:r>
      <w:r>
        <w:t xml:space="preserve"> </w:t>
      </w:r>
      <w:hyperlink r:id="rId33">
        <w:r>
          <w:rPr>
            <w:rStyle w:val="Hyperlink"/>
          </w:rPr>
          <w:t xml:space="preserve">https://drivr.com/om-drivr/</w:t>
        </w:r>
      </w:hyperlink>
      <w:r>
        <w:t xml:space="preserve"> </w:t>
      </w:r>
      <w:r>
        <w:t xml:space="preserve">(Accessed: 5 October 2026).</w:t>
      </w:r>
    </w:p>
    <w:p>
      <w:pPr>
        <w:pStyle w:val="BodyText"/>
      </w:pPr>
      <w:r>
        <w:t xml:space="preserve">Green Future USA Inc. (no date c)</w:t>
      </w:r>
      <w:r>
        <w:t xml:space="preserve"> </w:t>
      </w:r>
      <w:r>
        <w:rPr>
          <w:iCs/>
          <w:i/>
        </w:rPr>
        <w:t xml:space="preserve">Story and humanity</w:t>
      </w:r>
      <w:r>
        <w:t xml:space="preserve">. Available at:</w:t>
      </w:r>
      <w:r>
        <w:t xml:space="preserve"> </w:t>
      </w:r>
      <w:hyperlink r:id="rId34">
        <w:r>
          <w:rPr>
            <w:rStyle w:val="Hyperlink"/>
          </w:rPr>
          <w:t xml:space="preserve">https://www.greensm.com/us-en/about</w:t>
        </w:r>
      </w:hyperlink>
      <w:r>
        <w:t xml:space="preserve"> </w:t>
      </w:r>
      <w:r>
        <w:t xml:space="preserve">(Accessed: 3 October 2026).</w:t>
      </w:r>
    </w:p>
    <w:p>
      <w:pPr>
        <w:pStyle w:val="BodyText"/>
      </w:pPr>
      <w:r>
        <w:t xml:space="preserve">Green SM (2026a)</w:t>
      </w:r>
      <w:r>
        <w:t xml:space="preserve"> </w:t>
      </w:r>
      <w:r>
        <w:rPr>
          <w:iCs/>
          <w:i/>
        </w:rPr>
        <w:t xml:space="preserve">Green SM begins pilot operations in the Netherlands, further expanding its presence in Europe</w:t>
      </w:r>
      <w:r>
        <w:t xml:space="preserve">. Available at:</w:t>
      </w:r>
      <w:r>
        <w:t xml:space="preserve"> </w:t>
      </w:r>
      <w:hyperlink r:id="rId35">
        <w:r>
          <w:rPr>
            <w:rStyle w:val="Hyperlink"/>
          </w:rPr>
          <w:t xml:space="preserve">https://www.greensm.com/vn-en/news/green-sm-van-hanh-thu-nghiem-tai-ha-lan-mo-rong-hien-dien-tai-chau-au</w:t>
        </w:r>
      </w:hyperlink>
      <w:r>
        <w:t xml:space="preserve"> </w:t>
      </w:r>
      <w:r>
        <w:t xml:space="preserve">(Accessed: 27 September 2026).</w:t>
      </w:r>
    </w:p>
    <w:p>
      <w:pPr>
        <w:pStyle w:val="BodyText"/>
      </w:pPr>
      <w:r>
        <w:t xml:space="preserve">Green SM (2026d)</w:t>
      </w:r>
      <w:r>
        <w:t xml:space="preserve"> </w:t>
      </w:r>
      <w:r>
        <w:rPr>
          <w:iCs/>
          <w:i/>
        </w:rPr>
        <w:t xml:space="preserve">Green SM officially launches fully electric taxi service in Denmark</w:t>
      </w:r>
      <w:r>
        <w:t xml:space="preserve">. Available at:</w:t>
      </w:r>
      <w:r>
        <w:t xml:space="preserve"> </w:t>
      </w:r>
      <w:hyperlink r:id="rId36">
        <w:r>
          <w:rPr>
            <w:rStyle w:val="Hyperlink"/>
          </w:rPr>
          <w:t xml:space="preserve">https://www.greensm.com/dk-en/news/green-sm-officially-launches-fully-electric-taxi-service-in-denmark</w:t>
        </w:r>
      </w:hyperlink>
      <w:r>
        <w:t xml:space="preserve"> </w:t>
      </w:r>
      <w:r>
        <w:t xml:space="preserve">(Accessed: 27 September 2026).</w:t>
      </w:r>
    </w:p>
    <w:p>
      <w:pPr>
        <w:pStyle w:val="BodyText"/>
      </w:pPr>
      <w:r>
        <w:t xml:space="preserve">Green SM Denmark ApS (no date b)</w:t>
      </w:r>
      <w:r>
        <w:t xml:space="preserve"> </w:t>
      </w:r>
      <w:r>
        <w:rPr>
          <w:iCs/>
          <w:i/>
        </w:rPr>
        <w:t xml:space="preserve">Green SM Car - 100% electric vehicles, 5-star service</w:t>
      </w:r>
      <w:r>
        <w:t xml:space="preserve">. Available at:</w:t>
      </w:r>
      <w:r>
        <w:t xml:space="preserve"> </w:t>
      </w:r>
      <w:hyperlink r:id="rId37">
        <w:r>
          <w:rPr>
            <w:rStyle w:val="Hyperlink"/>
          </w:rPr>
          <w:t xml:space="preserve">https://www.greensm.com/dk-en/greensm-car</w:t>
        </w:r>
      </w:hyperlink>
      <w:r>
        <w:t xml:space="preserve"> </w:t>
      </w:r>
      <w:r>
        <w:t xml:space="preserve">(Accessed: 27 September 2026).</w:t>
      </w:r>
    </w:p>
    <w:p>
      <w:pPr>
        <w:pStyle w:val="BodyText"/>
      </w:pPr>
      <w:r>
        <w:t xml:space="preserve">Green SM Denmark ApS (no date c)</w:t>
      </w:r>
      <w:r>
        <w:t xml:space="preserve"> </w:t>
      </w:r>
      <w:r>
        <w:rPr>
          <w:iCs/>
          <w:i/>
        </w:rPr>
        <w:t xml:space="preserve">Story and humanity</w:t>
      </w:r>
      <w:r>
        <w:t xml:space="preserve">. Available at:</w:t>
      </w:r>
      <w:r>
        <w:t xml:space="preserve"> </w:t>
      </w:r>
      <w:hyperlink r:id="rId38">
        <w:r>
          <w:rPr>
            <w:rStyle w:val="Hyperlink"/>
          </w:rPr>
          <w:t xml:space="preserve">https://www.greensm.com/dk-en/about</w:t>
        </w:r>
      </w:hyperlink>
      <w:r>
        <w:t xml:space="preserve"> </w:t>
      </w:r>
      <w:r>
        <w:t xml:space="preserve">(Accessed: 27 September 2026).</w:t>
      </w:r>
    </w:p>
    <w:p>
      <w:pPr>
        <w:pStyle w:val="BodyText"/>
      </w:pPr>
      <w:r>
        <w:t xml:space="preserve">GSM Green and Smart Mobility Joint Stock Company (2024b)</w:t>
      </w:r>
      <w:r>
        <w:t xml:space="preserve"> </w:t>
      </w:r>
      <w:r>
        <w:rPr>
          <w:iCs/>
          <w:i/>
        </w:rPr>
        <w:t xml:space="preserve">Ra mắt Gói Hội Viên siêu hời: Mua ưu đãi Xanh, đặt xe thả phanh</w:t>
      </w:r>
      <w:r>
        <w:t xml:space="preserve">. Available at:</w:t>
      </w:r>
      <w:r>
        <w:t xml:space="preserve"> </w:t>
      </w:r>
      <w:hyperlink r:id="rId39">
        <w:r>
          <w:rPr>
            <w:rStyle w:val="Hyperlink"/>
          </w:rPr>
          <w:t xml:space="preserve">https://www.greensm.com/vn-vi/news/ra-mat-goi-hoi-vien-sieu-tien-loi-mua-uu-dai-xanh-dat-xe-tha-phanh</w:t>
        </w:r>
      </w:hyperlink>
      <w:r>
        <w:t xml:space="preserve"> </w:t>
      </w:r>
      <w:r>
        <w:t xml:space="preserve">(Accessed: 27 September 2026).</w:t>
      </w:r>
    </w:p>
    <w:p>
      <w:pPr>
        <w:pStyle w:val="BodyText"/>
      </w:pPr>
      <w:r>
        <w:t xml:space="preserve">Konkurrence- og Forbrugerstyrelsen (2026a)</w:t>
      </w:r>
      <w:r>
        <w:t xml:space="preserve"> </w:t>
      </w:r>
      <w:r>
        <w:rPr>
          <w:iCs/>
          <w:i/>
        </w:rPr>
        <w:t xml:space="preserve">Uber skal frasælge væsentlig del af Dantaxi efter indgreb fra konkurrencemyndighed</w:t>
      </w:r>
      <w:r>
        <w:t xml:space="preserve">. Available at:</w:t>
      </w:r>
      <w:r>
        <w:t xml:space="preserve"> </w:t>
      </w:r>
      <w:hyperlink r:id="rId40">
        <w:r>
          <w:rPr>
            <w:rStyle w:val="Hyperlink"/>
          </w:rPr>
          <w:t xml:space="preserve">https://kfst.dk/pressemeddelelser/2026/20260824-uber-skal-frasaelge-vaesentlig-del-af-dantaxi-efter-indgreb-fra-konkurrencemyndighed</w:t>
        </w:r>
      </w:hyperlink>
      <w:r>
        <w:t xml:space="preserve"> </w:t>
      </w:r>
      <w:r>
        <w:t xml:space="preserve">(Accessed: 27 September 2026).</w:t>
      </w:r>
    </w:p>
    <w:p>
      <w:pPr>
        <w:pStyle w:val="BodyText"/>
      </w:pPr>
      <w:r>
        <w:t xml:space="preserve">Konkurrence- og Forbrugerstyrelsen (2026b)</w:t>
      </w:r>
      <w:r>
        <w:t xml:space="preserve"> </w:t>
      </w:r>
      <w:r>
        <w:rPr>
          <w:iCs/>
          <w:i/>
        </w:rPr>
        <w:t xml:space="preserve">Ubers køb af Dantaxi</w:t>
      </w:r>
      <w:r>
        <w:t xml:space="preserve">. Available at:</w:t>
      </w:r>
      <w:r>
        <w:t xml:space="preserve"> </w:t>
      </w:r>
      <w:hyperlink r:id="rId41">
        <w:r>
          <w:rPr>
            <w:rStyle w:val="Hyperlink"/>
          </w:rPr>
          <w:t xml:space="preserve">https://kfst.dk/media/dhqlgp33/20260824-uber-dantaxi.pdf</w:t>
        </w:r>
      </w:hyperlink>
      <w:r>
        <w:t xml:space="preserve"> </w:t>
      </w:r>
      <w:r>
        <w:t xml:space="preserve">(Accessed: 27 September 2026).</w:t>
      </w:r>
    </w:p>
    <w:p>
      <w:pPr>
        <w:pStyle w:val="BodyText"/>
      </w:pPr>
      <w:r>
        <w:t xml:space="preserve">Lewis, M. (2026)</w:t>
      </w:r>
      <w:r>
        <w:t xml:space="preserve"> </w:t>
      </w:r>
      <w:r>
        <w:t xml:space="preserve">‘</w:t>
      </w:r>
      <w:r>
        <w:t xml:space="preserve">This all-electric VinFast taxi service just debuted in Europe</w:t>
      </w:r>
      <w:r>
        <w:t xml:space="preserve">’</w:t>
      </w:r>
      <w:r>
        <w:t xml:space="preserve">,</w:t>
      </w:r>
      <w:r>
        <w:t xml:space="preserve"> </w:t>
      </w:r>
      <w:r>
        <w:rPr>
          <w:iCs/>
          <w:i/>
        </w:rPr>
        <w:t xml:space="preserve">Electrek</w:t>
      </w:r>
      <w:r>
        <w:t xml:space="preserve">, 31 July. Available at:</w:t>
      </w:r>
      <w:r>
        <w:t xml:space="preserve"> </w:t>
      </w:r>
      <w:hyperlink r:id="rId42">
        <w:r>
          <w:rPr>
            <w:rStyle w:val="Hyperlink"/>
          </w:rPr>
          <w:t xml:space="preserve">https://electrek.co/2026/07/31/this-all-electric-vinfast-taxi-service-just-debuted-in-europe/</w:t>
        </w:r>
      </w:hyperlink>
      <w:r>
        <w:t xml:space="preserve"> </w:t>
      </w:r>
      <w:r>
        <w:t xml:space="preserve">(Accessed: 27 September 2026).</w:t>
      </w:r>
    </w:p>
    <w:p>
      <w:pPr>
        <w:pStyle w:val="BodyText"/>
      </w:pPr>
      <w:r>
        <w:t xml:space="preserve">Statistics Denmark (2026b)</w:t>
      </w:r>
      <w:r>
        <w:t xml:space="preserve"> </w:t>
      </w:r>
      <w:r>
        <w:rPr>
          <w:iCs/>
          <w:i/>
        </w:rPr>
        <w:t xml:space="preserve">Population at the first day of the quarter by region, sex, age, marital status and time</w:t>
      </w:r>
      <w:r>
        <w:t xml:space="preserve">. Available at:</w:t>
      </w:r>
      <w:r>
        <w:t xml:space="preserve"> </w:t>
      </w:r>
      <w:hyperlink r:id="rId43">
        <w:r>
          <w:rPr>
            <w:rStyle w:val="Hyperlink"/>
          </w:rPr>
          <w:t xml:space="preserve">https://api.statbank.dk/v1/data/FOLK1A/HTML5?lang=en&amp;OMR%C3%85DE=084,101&amp;K%C3%98N=TOT&amp;ALDER=*&amp;CIVILSTAND=TOT&amp;Tid=2026K3</w:t>
        </w:r>
      </w:hyperlink>
      <w:r>
        <w:t xml:space="preserve"> </w:t>
      </w:r>
      <w:r>
        <w:t xml:space="preserve">(Accessed: 27 September 2026).</w:t>
      </w:r>
    </w:p>
    <w:p>
      <w:pPr>
        <w:pStyle w:val="BodyText"/>
      </w:pPr>
      <w:r>
        <w:t xml:space="preserve">Viggo (2025)</w:t>
      </w:r>
      <w:r>
        <w:t xml:space="preserve"> </w:t>
      </w:r>
      <w:r>
        <w:rPr>
          <w:iCs/>
          <w:i/>
        </w:rPr>
        <w:t xml:space="preserve">Bolt enter Danish taxi market with acquisition of Viggo</w:t>
      </w:r>
      <w:r>
        <w:t xml:space="preserve">. Available at:</w:t>
      </w:r>
      <w:r>
        <w:t xml:space="preserve"> </w:t>
      </w:r>
      <w:hyperlink r:id="rId44">
        <w:r>
          <w:rPr>
            <w:rStyle w:val="Hyperlink"/>
          </w:rPr>
          <w:t xml:space="preserve">https://via.ritzau.dk/pressemeddelelse/14320449/bolt-enter-danish-taxi-market-with-acquisition-of-viggo?lang=da</w:t>
        </w:r>
      </w:hyperlink>
      <w:r>
        <w:t xml:space="preserve"> </w:t>
      </w:r>
      <w:r>
        <w:t xml:space="preserve">(Accessed: 5 October 2026).</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44" Target="https://via.ritzau.dk/pressemeddelelse/14320449/bolt-enter-danish-taxi-market-with-acquisition-of-viggo?lang=da" TargetMode="External" /><Relationship Type="http://schemas.openxmlformats.org/officeDocument/2006/relationships/hyperlink" Id="rId31" Target="https://www.behance.net/gallery/248521783/Xanh-SM-Rebranding" TargetMode="External" /><Relationship Type="http://schemas.openxmlformats.org/officeDocument/2006/relationships/hyperlink" Id="rId32" Target="https://www.cdpinstitute.org/what-is-a-cdp/" TargetMode="External" /><Relationship Type="http://schemas.openxmlformats.org/officeDocument/2006/relationships/hyperlink" Id="rId38" Target="https://www.greensm.com/dk-en/about" TargetMode="External" /><Relationship Type="http://schemas.openxmlformats.org/officeDocument/2006/relationships/hyperlink" Id="rId37"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4" Target="https://www.greensm.com/us-en/about" TargetMode="External" /><Relationship Type="http://schemas.openxmlformats.org/officeDocument/2006/relationships/hyperlink" Id="rId35" Target="https://www.greensm.com/vn-en/news/green-sm-van-hanh-thu-nghiem-tai-ha-lan-mo-rong-hien-dien-tai-chau-au" TargetMode="External" /><Relationship Type="http://schemas.openxmlformats.org/officeDocument/2006/relationships/hyperlink" Id="rId39" Target="https://www.greensm.com/vn-vi/news/ra-mat-goi-hoi-vien-sieu-tien-loi-mua-uu-dai-xanh-dat-xe-tha-phanh" TargetMode="External" /></Relationships>
</file>

<file path=word/_rels/footnotes.xml.rels><?xml version="1.0" encoding="UTF-8"?><Relationships xmlns="http://schemas.openxmlformats.org/package/2006/relationships"><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44" Target="https://via.ritzau.dk/pressemeddelelse/14320449/bolt-enter-danish-taxi-market-with-acquisition-of-viggo?lang=da" TargetMode="External" /><Relationship Type="http://schemas.openxmlformats.org/officeDocument/2006/relationships/hyperlink" Id="rId31" Target="https://www.behance.net/gallery/248521783/Xanh-SM-Rebranding" TargetMode="External" /><Relationship Type="http://schemas.openxmlformats.org/officeDocument/2006/relationships/hyperlink" Id="rId32" Target="https://www.cdpinstitute.org/what-is-a-cdp/" TargetMode="External" /><Relationship Type="http://schemas.openxmlformats.org/officeDocument/2006/relationships/hyperlink" Id="rId38" Target="https://www.greensm.com/dk-en/about" TargetMode="External" /><Relationship Type="http://schemas.openxmlformats.org/officeDocument/2006/relationships/hyperlink" Id="rId37"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4" Target="https://www.greensm.com/us-en/about" TargetMode="External" /><Relationship Type="http://schemas.openxmlformats.org/officeDocument/2006/relationships/hyperlink" Id="rId35" Target="https://www.greensm.com/vn-en/news/green-sm-van-hanh-thu-nghiem-tai-ha-lan-mo-rong-hien-dien-tai-chau-au" TargetMode="External" /><Relationship Type="http://schemas.openxmlformats.org/officeDocument/2006/relationships/hyperlink" Id="rId39" Target="https://www.greensm.com/vn-vi/news/ra-mat-goi-hoi-vien-sieu-tien-loi-mua-uu-dai-xanh-dat-xe-tha-phan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2026-10-07T05:16:18Z</dcterms:created>
  <dcterms:modified xsi:type="dcterms:W3CDTF">2026-10-07T05:16:18Z</dcterms:modified>
</cp:coreProperties>
</file>

<file path=docProps/custom.xml><?xml version="1.0" encoding="utf-8"?>
<Properties xmlns="http://schemas.openxmlformats.org/officeDocument/2006/custom-properties" xmlns:vt="http://schemas.openxmlformats.org/officeDocument/2006/docPropsVTypes"/>
</file>