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9250d198028ff6a97cefad13a9484424d6038f0"/>
    <w:p>
      <w:pPr>
        <w:pStyle w:val="Heading1"/>
      </w:pPr>
      <w:r>
        <w:t xml:space="preserve">Presentation study guide — Copenhagen, meet Green SM</w:t>
      </w:r>
    </w:p>
    <w:p>
      <w:pPr>
        <w:pStyle w:val="FirstParagraph"/>
      </w:pPr>
      <w:r>
        <w:t xml:space="preserve">Date: 7 October 2026 (D-158). Study companion to</w:t>
      </w:r>
      <w:r>
        <w:t xml:space="preserve"> </w:t>
      </w:r>
      <w:hyperlink r:id="rId20">
        <w:r>
          <w:rPr>
            <w:rStyle w:val="Hyperlink"/>
          </w:rPr>
          <w:t xml:space="preserve">the full script v02</w:t>
        </w:r>
      </w:hyperlink>
      <w:r>
        <w:t xml:space="preserve">, matching the content-upgrade proof v01. This is a draft for group review, not evidence of a completed rehearsal or agreed speaking allocation.</w:t>
      </w:r>
      <w:r>
        <w:t xml:space="preserve"> </w:t>
      </w:r>
      <w:hyperlink r:id="rId21">
        <w:r>
          <w:rPr>
            <w:rStyle w:val="Hyperlink"/>
          </w:rPr>
          <w:t xml:space="preserve">v01</w:t>
        </w:r>
      </w:hyperlink>
      <w:r>
        <w:t xml:space="preserve"> </w:t>
      </w:r>
      <w:r>
        <w:t xml:space="preserve">is preserved.</w:t>
      </w:r>
    </w:p>
    <w:bookmarkStart w:id="22" w:name="the-argument-to-remember"/>
    <w:p>
      <w:pPr>
        <w:pStyle w:val="Heading2"/>
      </w:pPr>
      <w:r>
        <w:t xml:space="preserve">The argument to remember</w:t>
      </w:r>
    </w:p>
    <w:p>
      <w:pPr>
        <w:pStyle w:val="FirstParagraph"/>
      </w:pPr>
      <w:r>
        <w:rPr>
          <w:bCs/>
          <w:b/>
        </w:rPr>
        <w:t xml:space="preserve">Electric + smart + controlled service → a focused local segment → first paid ride → a good experience → repeat use → measured growth.</w:t>
      </w:r>
    </w:p>
    <w:p>
      <w:pPr>
        <w:pStyle w:val="BodyText"/>
      </w:pPr>
      <w:r>
        <w:t xml:space="preserve">The poster is the visual aid. The speech explains the choices, trade-offs and measurements. Learn the argument and the number definitions rather than reading every word in the panels.</w:t>
      </w:r>
    </w:p>
    <w:bookmarkEnd w:id="22"/>
    <w:bookmarkStart w:id="23" w:name="timing-and-provisional-speaking-roles"/>
    <w:p>
      <w:pPr>
        <w:pStyle w:val="Heading2"/>
      </w:pPr>
      <w:r>
        <w:t xml:space="preserve">Timing and provisional speaking roles</w:t>
      </w:r>
    </w:p>
    <w:p>
      <w:pPr>
        <w:pStyle w:val="FirstParagraph"/>
      </w:pPr>
      <w:r>
        <w:t xml:space="preserve">The allocations total 15 minutes, followed by the brief’s separate five-minute Q&amp;A. Speaker A/B/C are role labels, not assigned member names or contribution claims. The group can change the distribution. Every member should understand all ten sections.</w:t>
      </w:r>
    </w:p>
    <w:tbl>
      <w:tblPr>
        <w:tblStyle w:val="Table"/>
        <w:tblW w:type="pct" w:w="5000"/>
        <w:tblLook w:firstRow="1" w:lastRow="0" w:firstColumn="0" w:lastColumn="0" w:noHBand="0" w:noVBand="0" w:val="0020"/>
        <w:jc w:val="start"/>
      </w:tblPr>
      <w:tblGrid>
        <w:gridCol w:w="1485"/>
        <w:gridCol w:w="1485"/>
        <w:gridCol w:w="1980"/>
        <w:gridCol w:w="1485"/>
        <w:gridCol w:w="1485"/>
      </w:tblGrid>
      <w:tr>
        <w:trPr>
          <w:tblHeader w:val="true"/>
        </w:trPr>
        <w:tc>
          <w:tcPr/>
          <w:p>
            <w:pPr>
              <w:pStyle w:val="Compact"/>
              <w:jc w:val="left"/>
            </w:pPr>
            <w:r>
              <w:t xml:space="preserve">Part</w:t>
            </w:r>
          </w:p>
        </w:tc>
        <w:tc>
          <w:tcPr/>
          <w:p>
            <w:pPr>
              <w:pStyle w:val="Compact"/>
              <w:jc w:val="left"/>
            </w:pPr>
            <w:r>
              <w:t xml:space="preserve">Clock window</w:t>
            </w:r>
          </w:p>
        </w:tc>
        <w:tc>
          <w:tcPr/>
          <w:p>
            <w:pPr>
              <w:pStyle w:val="Compact"/>
              <w:jc w:val="right"/>
            </w:pPr>
            <w:r>
              <w:t xml:space="preserve">Allocation</w:t>
            </w:r>
          </w:p>
        </w:tc>
        <w:tc>
          <w:tcPr/>
          <w:p>
            <w:pPr>
              <w:pStyle w:val="Compact"/>
              <w:jc w:val="left"/>
            </w:pPr>
            <w:r>
              <w:t xml:space="preserve">Proposed role</w:t>
            </w:r>
          </w:p>
        </w:tc>
        <w:tc>
          <w:tcPr/>
          <w:p>
            <w:pPr>
              <w:pStyle w:val="Compact"/>
              <w:jc w:val="left"/>
            </w:pPr>
            <w:r>
              <w:t xml:space="preserve">What to point at</w:t>
            </w:r>
          </w:p>
        </w:tc>
      </w:tr>
      <w:tr>
        <w:tc>
          <w:tcPr/>
          <w:p>
            <w:pPr>
              <w:pStyle w:val="Compact"/>
              <w:jc w:val="left"/>
            </w:pPr>
            <w:r>
              <w:t xml:space="preserve">Overview</w:t>
            </w:r>
          </w:p>
        </w:tc>
        <w:tc>
          <w:tcPr/>
          <w:p>
            <w:pPr>
              <w:pStyle w:val="Compact"/>
              <w:jc w:val="left"/>
            </w:pPr>
            <w:r>
              <w:t xml:space="preserve">0:00–0:45</w:t>
            </w:r>
          </w:p>
        </w:tc>
        <w:tc>
          <w:tcPr/>
          <w:p>
            <w:pPr>
              <w:pStyle w:val="Compact"/>
              <w:jc w:val="right"/>
            </w:pPr>
            <w:r>
              <w:t xml:space="preserve">0:45</w:t>
            </w:r>
          </w:p>
        </w:tc>
        <w:tc>
          <w:tcPr/>
          <w:p>
            <w:pPr>
              <w:pStyle w:val="Compact"/>
              <w:jc w:val="left"/>
            </w:pPr>
            <w:r>
              <w:t xml:space="preserve">A</w:t>
            </w:r>
          </w:p>
        </w:tc>
        <w:tc>
          <w:tcPr/>
          <w:p>
            <w:pPr>
              <w:pStyle w:val="Compact"/>
              <w:jc w:val="left"/>
            </w:pPr>
            <w:r>
              <w:t xml:space="preserve">Title, then the three rows</w:t>
            </w:r>
          </w:p>
        </w:tc>
      </w:tr>
      <w:tr>
        <w:tc>
          <w:tcPr/>
          <w:p>
            <w:pPr>
              <w:pStyle w:val="Compact"/>
              <w:jc w:val="left"/>
            </w:pPr>
            <w:r>
              <w:t xml:space="preserve">1. Company/Business Introduction</w:t>
            </w:r>
          </w:p>
        </w:tc>
        <w:tc>
          <w:tcPr/>
          <w:p>
            <w:pPr>
              <w:pStyle w:val="Compact"/>
              <w:jc w:val="left"/>
            </w:pPr>
            <w:r>
              <w:t xml:space="preserve">0:45–1:45</w:t>
            </w:r>
          </w:p>
        </w:tc>
        <w:tc>
          <w:tcPr/>
          <w:p>
            <w:pPr>
              <w:pStyle w:val="Compact"/>
              <w:jc w:val="right"/>
            </w:pPr>
            <w:r>
              <w:t xml:space="preserve">1:00</w:t>
            </w:r>
          </w:p>
        </w:tc>
        <w:tc>
          <w:tcPr/>
          <w:p>
            <w:pPr>
              <w:pStyle w:val="Compact"/>
              <w:jc w:val="left"/>
            </w:pPr>
            <w:r>
              <w:t xml:space="preserve">A</w:t>
            </w:r>
          </w:p>
        </w:tc>
        <w:tc>
          <w:tcPr/>
          <w:p>
            <w:pPr>
              <w:pStyle w:val="Compact"/>
              <w:jc w:val="left"/>
            </w:pPr>
            <w:r>
              <w:t xml:space="preserve">App, owned fleet (590 registered), flags</w:t>
            </w:r>
          </w:p>
        </w:tc>
      </w:tr>
      <w:tr>
        <w:tc>
          <w:tcPr/>
          <w:p>
            <w:pPr>
              <w:pStyle w:val="Compact"/>
              <w:jc w:val="left"/>
            </w:pPr>
            <w:r>
              <w:t xml:space="preserve">2. Target Market Analysis</w:t>
            </w:r>
          </w:p>
        </w:tc>
        <w:tc>
          <w:tcPr/>
          <w:p>
            <w:pPr>
              <w:pStyle w:val="Compact"/>
              <w:jc w:val="left"/>
            </w:pPr>
            <w:r>
              <w:t xml:space="preserve">1:45–3:15</w:t>
            </w:r>
          </w:p>
        </w:tc>
        <w:tc>
          <w:tcPr/>
          <w:p>
            <w:pPr>
              <w:pStyle w:val="Compact"/>
              <w:jc w:val="right"/>
            </w:pPr>
            <w:r>
              <w:t xml:space="preserve">1:30</w:t>
            </w:r>
          </w:p>
        </w:tc>
        <w:tc>
          <w:tcPr/>
          <w:p>
            <w:pPr>
              <w:pStyle w:val="Compact"/>
              <w:jc w:val="left"/>
            </w:pPr>
            <w:r>
              <w:t xml:space="preserve">A</w:t>
            </w:r>
          </w:p>
        </w:tc>
        <w:tc>
          <w:tcPr/>
          <w:p>
            <w:pPr>
              <w:pStyle w:val="Compact"/>
              <w:jc w:val="left"/>
            </w:pPr>
            <w:r>
              <w:t xml:space="preserve">25–44 bar, connector, Later line, rider</w:t>
            </w:r>
          </w:p>
        </w:tc>
      </w:tr>
      <w:tr>
        <w:tc>
          <w:tcPr/>
          <w:p>
            <w:pPr>
              <w:pStyle w:val="Compact"/>
              <w:jc w:val="left"/>
            </w:pPr>
            <w:r>
              <w:t xml:space="preserve">3. Positioning Strategy</w:t>
            </w:r>
          </w:p>
        </w:tc>
        <w:tc>
          <w:tcPr/>
          <w:p>
            <w:pPr>
              <w:pStyle w:val="Compact"/>
              <w:jc w:val="left"/>
            </w:pPr>
            <w:r>
              <w:t xml:space="preserve">3:15–4:30</w:t>
            </w:r>
          </w:p>
        </w:tc>
        <w:tc>
          <w:tcPr/>
          <w:p>
            <w:pPr>
              <w:pStyle w:val="Compact"/>
              <w:jc w:val="right"/>
            </w:pPr>
            <w:r>
              <w:t xml:space="preserve">1:15</w:t>
            </w:r>
          </w:p>
        </w:tc>
        <w:tc>
          <w:tcPr/>
          <w:p>
            <w:pPr>
              <w:pStyle w:val="Compact"/>
              <w:jc w:val="left"/>
            </w:pPr>
            <w:r>
              <w:t xml:space="preserve">A</w:t>
            </w:r>
          </w:p>
        </w:tc>
        <w:tc>
          <w:tcPr/>
          <w:p>
            <w:pPr>
              <w:pStyle w:val="Compact"/>
              <w:jc w:val="left"/>
            </w:pPr>
            <w:r>
              <w:t xml:space="preserve">Both columns, Shared line, control bracket</w:t>
            </w:r>
          </w:p>
        </w:tc>
      </w:tr>
      <w:tr>
        <w:tc>
          <w:tcPr/>
          <w:p>
            <w:pPr>
              <w:pStyle w:val="Compact"/>
              <w:jc w:val="left"/>
            </w:pPr>
            <w:r>
              <w:t xml:space="preserve">4. Branding and Identity</w:t>
            </w:r>
          </w:p>
        </w:tc>
        <w:tc>
          <w:tcPr/>
          <w:p>
            <w:pPr>
              <w:pStyle w:val="Compact"/>
              <w:jc w:val="left"/>
            </w:pPr>
            <w:r>
              <w:t xml:space="preserve">4:30–5:30</w:t>
            </w:r>
          </w:p>
        </w:tc>
        <w:tc>
          <w:tcPr/>
          <w:p>
            <w:pPr>
              <w:pStyle w:val="Compact"/>
              <w:jc w:val="right"/>
            </w:pPr>
            <w:r>
              <w:t xml:space="preserve">1:00</w:t>
            </w:r>
          </w:p>
        </w:tc>
        <w:tc>
          <w:tcPr/>
          <w:p>
            <w:pPr>
              <w:pStyle w:val="Compact"/>
              <w:jc w:val="left"/>
            </w:pPr>
            <w:r>
              <w:t xml:space="preserve">A</w:t>
            </w:r>
          </w:p>
        </w:tc>
        <w:tc>
          <w:tcPr/>
          <w:p>
            <w:pPr>
              <w:pStyle w:val="Compact"/>
              <w:jc w:val="left"/>
            </w:pPr>
            <w:r>
              <w:t xml:space="preserve">Logo, slogan, colours, app, Danish page</w:t>
            </w:r>
          </w:p>
        </w:tc>
      </w:tr>
      <w:tr>
        <w:tc>
          <w:tcPr/>
          <w:p>
            <w:pPr>
              <w:pStyle w:val="Compact"/>
              <w:jc w:val="left"/>
            </w:pPr>
            <w:r>
              <w:t xml:space="preserve">5. Digital Marketing Tactics</w:t>
            </w:r>
          </w:p>
        </w:tc>
        <w:tc>
          <w:tcPr/>
          <w:p>
            <w:pPr>
              <w:pStyle w:val="Compact"/>
              <w:jc w:val="left"/>
            </w:pPr>
            <w:r>
              <w:t xml:space="preserve">5:30–7:30</w:t>
            </w:r>
          </w:p>
        </w:tc>
        <w:tc>
          <w:tcPr/>
          <w:p>
            <w:pPr>
              <w:pStyle w:val="Compact"/>
              <w:jc w:val="right"/>
            </w:pPr>
            <w:r>
              <w:t xml:space="preserve">2:00</w:t>
            </w:r>
          </w:p>
        </w:tc>
        <w:tc>
          <w:tcPr/>
          <w:p>
            <w:pPr>
              <w:pStyle w:val="Compact"/>
              <w:jc w:val="left"/>
            </w:pPr>
            <w:r>
              <w:t xml:space="preserve">B</w:t>
            </w:r>
          </w:p>
        </w:tc>
        <w:tc>
          <w:tcPr/>
          <w:p>
            <w:pPr>
              <w:pStyle w:val="Compact"/>
              <w:jc w:val="left"/>
            </w:pPr>
            <w:r>
              <w:t xml:space="preserve">Surveys, page/app/ride, voucher</w:t>
            </w:r>
          </w:p>
        </w:tc>
      </w:tr>
      <w:tr>
        <w:tc>
          <w:tcPr/>
          <w:p>
            <w:pPr>
              <w:pStyle w:val="Compact"/>
              <w:jc w:val="left"/>
            </w:pPr>
            <w:r>
              <w:t xml:space="preserve">6. Sales Strategies</w:t>
            </w:r>
          </w:p>
        </w:tc>
        <w:tc>
          <w:tcPr/>
          <w:p>
            <w:pPr>
              <w:pStyle w:val="Compact"/>
              <w:jc w:val="left"/>
            </w:pPr>
            <w:r>
              <w:t xml:space="preserve">7:30–9:00</w:t>
            </w:r>
          </w:p>
        </w:tc>
        <w:tc>
          <w:tcPr/>
          <w:p>
            <w:pPr>
              <w:pStyle w:val="Compact"/>
              <w:jc w:val="right"/>
            </w:pPr>
            <w:r>
              <w:t xml:space="preserve">1:30</w:t>
            </w:r>
          </w:p>
        </w:tc>
        <w:tc>
          <w:tcPr/>
          <w:p>
            <w:pPr>
              <w:pStyle w:val="Compact"/>
              <w:jc w:val="left"/>
            </w:pPr>
            <w:r>
              <w:t xml:space="preserve">B</w:t>
            </w:r>
          </w:p>
        </w:tc>
        <w:tc>
          <w:tcPr/>
          <w:p>
            <w:pPr>
              <w:pStyle w:val="Compact"/>
              <w:jc w:val="left"/>
            </w:pPr>
            <w:r>
              <w:t xml:space="preserve">Five-stage journey and its metrics</w:t>
            </w:r>
          </w:p>
        </w:tc>
      </w:tr>
      <w:tr>
        <w:tc>
          <w:tcPr/>
          <w:p>
            <w:pPr>
              <w:pStyle w:val="Compact"/>
              <w:jc w:val="left"/>
            </w:pPr>
            <w:r>
              <w:t xml:space="preserve">7. Budget and Resource Allocation</w:t>
            </w:r>
          </w:p>
        </w:tc>
        <w:tc>
          <w:tcPr/>
          <w:p>
            <w:pPr>
              <w:pStyle w:val="Compact"/>
              <w:jc w:val="left"/>
            </w:pPr>
            <w:r>
              <w:t xml:space="preserve">9:00–11:00</w:t>
            </w:r>
          </w:p>
        </w:tc>
        <w:tc>
          <w:tcPr/>
          <w:p>
            <w:pPr>
              <w:pStyle w:val="Compact"/>
              <w:jc w:val="right"/>
            </w:pPr>
            <w:r>
              <w:t xml:space="preserve">2:00</w:t>
            </w:r>
          </w:p>
        </w:tc>
        <w:tc>
          <w:tcPr/>
          <w:p>
            <w:pPr>
              <w:pStyle w:val="Compact"/>
              <w:jc w:val="left"/>
            </w:pPr>
            <w:r>
              <w:t xml:space="preserve">B</w:t>
            </w:r>
          </w:p>
        </w:tc>
        <w:tc>
          <w:tcPr/>
          <w:p>
            <w:pPr>
              <w:pStyle w:val="Compact"/>
              <w:jc w:val="left"/>
            </w:pPr>
            <w:r>
              <w:t xml:space="preserve">Total, largest bars, unit check, reviews</w:t>
            </w:r>
          </w:p>
        </w:tc>
      </w:tr>
      <w:tr>
        <w:tc>
          <w:tcPr/>
          <w:p>
            <w:pPr>
              <w:pStyle w:val="Compact"/>
              <w:jc w:val="left"/>
            </w:pPr>
            <w:r>
              <w:t xml:space="preserve">8. Measurement and Evaluation</w:t>
            </w:r>
          </w:p>
        </w:tc>
        <w:tc>
          <w:tcPr/>
          <w:p>
            <w:pPr>
              <w:pStyle w:val="Compact"/>
              <w:jc w:val="left"/>
            </w:pPr>
            <w:r>
              <w:t xml:space="preserve">11:00–12:45</w:t>
            </w:r>
          </w:p>
        </w:tc>
        <w:tc>
          <w:tcPr/>
          <w:p>
            <w:pPr>
              <w:pStyle w:val="Compact"/>
              <w:jc w:val="right"/>
            </w:pPr>
            <w:r>
              <w:t xml:space="preserve">1:45</w:t>
            </w:r>
          </w:p>
        </w:tc>
        <w:tc>
          <w:tcPr/>
          <w:p>
            <w:pPr>
              <w:pStyle w:val="Compact"/>
              <w:jc w:val="left"/>
            </w:pPr>
            <w:r>
              <w:t xml:space="preserve">C</w:t>
            </w:r>
          </w:p>
        </w:tc>
        <w:tc>
          <w:tcPr/>
          <w:p>
            <w:pPr>
              <w:pStyle w:val="Compact"/>
              <w:jc w:val="left"/>
            </w:pPr>
            <w:r>
              <w:t xml:space="preserve">Targets, scope note, service floors, reviews</w:t>
            </w:r>
          </w:p>
        </w:tc>
      </w:tr>
      <w:tr>
        <w:tc>
          <w:tcPr/>
          <w:p>
            <w:pPr>
              <w:pStyle w:val="Compact"/>
              <w:jc w:val="left"/>
            </w:pPr>
            <w:r>
              <w:t xml:space="preserve">9. Creativity and Innovation</w:t>
            </w:r>
          </w:p>
        </w:tc>
        <w:tc>
          <w:tcPr/>
          <w:p>
            <w:pPr>
              <w:pStyle w:val="Compact"/>
              <w:jc w:val="left"/>
            </w:pPr>
            <w:r>
              <w:t xml:space="preserve">12:45–14:15</w:t>
            </w:r>
          </w:p>
        </w:tc>
        <w:tc>
          <w:tcPr/>
          <w:p>
            <w:pPr>
              <w:pStyle w:val="Compact"/>
              <w:jc w:val="right"/>
            </w:pPr>
            <w:r>
              <w:t xml:space="preserve">1:30</w:t>
            </w:r>
          </w:p>
        </w:tc>
        <w:tc>
          <w:tcPr/>
          <w:p>
            <w:pPr>
              <w:pStyle w:val="Compact"/>
              <w:jc w:val="left"/>
            </w:pPr>
            <w:r>
              <w:t xml:space="preserve">C</w:t>
            </w:r>
          </w:p>
        </w:tc>
        <w:tc>
          <w:tcPr/>
          <w:p>
            <w:pPr>
              <w:pStyle w:val="Compact"/>
              <w:jc w:val="left"/>
            </w:pPr>
            <w:r>
              <w:t xml:space="preserve">Four pilot boxes, neuromarketing line</w:t>
            </w:r>
          </w:p>
        </w:tc>
      </w:tr>
      <w:tr>
        <w:tc>
          <w:tcPr/>
          <w:p>
            <w:pPr>
              <w:pStyle w:val="Compact"/>
              <w:jc w:val="left"/>
            </w:pPr>
            <w:r>
              <w:t xml:space="preserve">10. Alignment with Business Objectives</w:t>
            </w:r>
          </w:p>
        </w:tc>
        <w:tc>
          <w:tcPr/>
          <w:p>
            <w:pPr>
              <w:pStyle w:val="Compact"/>
              <w:jc w:val="left"/>
            </w:pPr>
            <w:r>
              <w:t xml:space="preserve">14:15–15:00</w:t>
            </w:r>
          </w:p>
        </w:tc>
        <w:tc>
          <w:tcPr/>
          <w:p>
            <w:pPr>
              <w:pStyle w:val="Compact"/>
              <w:jc w:val="right"/>
            </w:pPr>
            <w:r>
              <w:t xml:space="preserve">0:45</w:t>
            </w:r>
          </w:p>
        </w:tc>
        <w:tc>
          <w:tcPr/>
          <w:p>
            <w:pPr>
              <w:pStyle w:val="Compact"/>
              <w:jc w:val="left"/>
            </w:pPr>
            <w:r>
              <w:t xml:space="preserve">C</w:t>
            </w:r>
          </w:p>
        </w:tc>
        <w:tc>
          <w:tcPr/>
          <w:p>
            <w:pPr>
              <w:pStyle w:val="Compact"/>
              <w:jc w:val="left"/>
            </w:pPr>
            <w:r>
              <w:t xml:space="preserve">Four goals, then the whole poster</w:t>
            </w:r>
          </w:p>
        </w:tc>
      </w:tr>
    </w:tbl>
    <w:p>
      <w:pPr>
        <w:pStyle w:val="BodyText"/>
      </w:pPr>
      <w:r>
        <w:t xml:space="preserve">Script check: 1,687 words under the v01 counting convention (headings, directions and References excluded; written citation tokens retained). At 120 words per minute that is about 14 minutes 3 seconds; without the 124 citation tokens, which are not read aloud, about 13 minutes 2 seconds. This is a mechanical estimate, not a timed rehearsal.</w:t>
      </w:r>
    </w:p>
    <w:bookmarkEnd w:id="23"/>
    <w:bookmarkStart w:id="35" w:name="cue-cards-by-section"/>
    <w:p>
      <w:pPr>
        <w:pStyle w:val="Heading2"/>
      </w:pPr>
      <w:r>
        <w:t xml:space="preserve">Cue cards by section</w:t>
      </w:r>
    </w:p>
    <w:bookmarkStart w:id="24" w:name="overview"/>
    <w:p>
      <w:pPr>
        <w:pStyle w:val="Heading3"/>
      </w:pPr>
      <w:r>
        <w:t xml:space="preserve">Overview</w:t>
      </w:r>
    </w:p>
    <w:p>
      <w:pPr>
        <w:pStyle w:val="FirstParagraph"/>
      </w:pPr>
      <w:r>
        <w:rPr>
          <w:bCs/>
          <w:b/>
        </w:rPr>
        <w:t xml:space="preserve">Remember:</w:t>
      </w:r>
      <w:r>
        <w:t xml:space="preserve"> </w:t>
      </w:r>
      <w:r>
        <w:t xml:space="preserve">electric / smart / controlled service; ten panels; November 2026–October 2027; trial into repeat.</w:t>
      </w:r>
    </w:p>
    <w:p>
      <w:pPr>
        <w:pStyle w:val="BodyText"/>
      </w:pPr>
      <w:r>
        <w:rPr>
          <w:bCs/>
          <w:b/>
        </w:rPr>
        <w:t xml:space="preserve">Anchor:</w:t>
      </w:r>
      <w:r>
        <w:t xml:space="preserve"> </w:t>
      </w:r>
      <w:r>
        <w:t xml:space="preserve">Our central proposal is to turn a first paid ride into repeat use.</w:t>
      </w:r>
    </w:p>
    <w:p>
      <w:pPr>
        <w:pStyle w:val="BodyText"/>
      </w:pPr>
      <w:r>
        <w:t xml:space="preserve">Explain the reading route once. Do not introduce achieved sales or research that the group has not conducted.</w:t>
      </w:r>
    </w:p>
    <w:bookmarkEnd w:id="24"/>
    <w:bookmarkStart w:id="25" w:name="companybusiness-introduction"/>
    <w:p>
      <w:pPr>
        <w:pStyle w:val="Heading3"/>
      </w:pPr>
      <w:r>
        <w:t xml:space="preserve">1. Company/Business Introduction</w:t>
      </w:r>
    </w:p>
    <w:p>
      <w:pPr>
        <w:pStyle w:val="FirstParagraph"/>
      </w:pPr>
      <w:r>
        <w:rPr>
          <w:bCs/>
          <w:b/>
        </w:rPr>
        <w:t xml:space="preserve">Remember:</w:t>
      </w:r>
      <w:r>
        <w:t xml:space="preserve"> </w:t>
      </w:r>
      <w:r>
        <w:t xml:space="preserve">Vietnam / March 2023 / Vingroup / app–fleet–drivers / 590 registered cars / Denmark launch / Netherlands pilot.</w:t>
      </w:r>
    </w:p>
    <w:p>
      <w:pPr>
        <w:pStyle w:val="BodyText"/>
      </w:pPr>
      <w:r>
        <w:rPr>
          <w:bCs/>
          <w:b/>
        </w:rPr>
        <w:t xml:space="preserve">Anchor:</w:t>
      </w:r>
      <w:r>
        <w:t xml:space="preserve"> </w:t>
      </w:r>
      <w:r>
        <w:t xml:space="preserve">Its 590 registered cars are potential capacity, not active taxis.</w:t>
      </w:r>
    </w:p>
    <w:p>
      <w:pPr>
        <w:pStyle w:val="BodyText"/>
      </w:pPr>
      <w:r>
        <w:t xml:space="preserve">Denmark has already launched. The 590 figure is registrations, not cars in service, rides or market share. Copenhagen is the only Danish city in the company’s current plans. Do not list the USA as an operating market.</w:t>
      </w:r>
    </w:p>
    <w:bookmarkEnd w:id="25"/>
    <w:bookmarkStart w:id="26" w:name="target-market-analysis"/>
    <w:p>
      <w:pPr>
        <w:pStyle w:val="Heading3"/>
      </w:pPr>
      <w:r>
        <w:t xml:space="preserve">2. Target Market Analysis</w:t>
      </w:r>
    </w:p>
    <w:p>
      <w:pPr>
        <w:pStyle w:val="FirstParagraph"/>
      </w:pPr>
      <w:r>
        <w:rPr>
          <w:bCs/>
          <w:b/>
        </w:rPr>
        <w:t xml:space="preserve">Remember:</w:t>
      </w:r>
      <w:r>
        <w:t xml:space="preserve"> </w:t>
      </w:r>
      <w:r>
        <w:t xml:space="preserve">25–44 / self-paying AND existing taxi users AND recurring local trips / service area / later: visitors and business accounts.</w:t>
      </w:r>
    </w:p>
    <w:p>
      <w:pPr>
        <w:pStyle w:val="BodyText"/>
      </w:pPr>
      <w:r>
        <w:rPr>
          <w:bCs/>
          <w:b/>
        </w:rPr>
        <w:t xml:space="preserve">Anchor:</w:t>
      </w:r>
      <w:r>
        <w:t xml:space="preserve"> </w:t>
      </w:r>
      <w:r>
        <w:t xml:space="preserve">Age alone does not identify a likely customer.</w:t>
      </w:r>
    </w:p>
    <w:p>
      <w:pPr>
        <w:pStyle w:val="BodyText"/>
      </w:pPr>
      <w:r>
        <w:t xml:space="preserve">269,277 is the age pool, not the qualified segment or a sales forecast. Visitors and business accounts are deliberately deferred, not forgotten: eligible enquiries are served, but year-one spending targets recurring local trips. The age range and psychographic profile are hypotheses to validate.</w:t>
      </w:r>
    </w:p>
    <w:bookmarkEnd w:id="26"/>
    <w:bookmarkStart w:id="27" w:name="positioning-strategy"/>
    <w:p>
      <w:pPr>
        <w:pStyle w:val="Heading3"/>
      </w:pPr>
      <w:r>
        <w:t xml:space="preserve">3. Positioning Strategy</w:t>
      </w:r>
    </w:p>
    <w:p>
      <w:pPr>
        <w:pStyle w:val="FirstParagraph"/>
      </w:pPr>
      <w:r>
        <w:rPr>
          <w:bCs/>
          <w:b/>
        </w:rPr>
        <w:t xml:space="preserve">Remember:</w:t>
      </w:r>
      <w:r>
        <w:t xml:space="preserve"> </w:t>
      </w:r>
      <w:r>
        <w:t xml:space="preserve">electric, app booking and similar fares are shared / app–fleet–drivers are the operating basis / consistent experience is the proposed benefit / Dantaxi part-sale.</w:t>
      </w:r>
    </w:p>
    <w:p>
      <w:pPr>
        <w:pStyle w:val="BodyText"/>
      </w:pPr>
      <w:r>
        <w:rPr>
          <w:bCs/>
          <w:b/>
        </w:rPr>
        <w:t xml:space="preserve">Anchor:</w:t>
      </w:r>
      <w:r>
        <w:t xml:space="preserve"> </w:t>
      </w:r>
      <w:r>
        <w:t xml:space="preserve">Ownership gives control, but does not by itself prove better service.</w:t>
      </w:r>
    </w:p>
    <w:p>
      <w:pPr>
        <w:pStyle w:val="BodyText"/>
      </w:pPr>
      <w:r>
        <w:t xml:space="preserve">Published day fares start at DKK39 for Green SM and Dantaxi and DKK42 for Drivr; price cannot differentiate. Bolt’s fares are not in the comparison. The Dantaxi sale is required, not yet completed. Do not claim rivals lack professional drivers or support.</w:t>
      </w:r>
    </w:p>
    <w:bookmarkEnd w:id="27"/>
    <w:bookmarkStart w:id="28" w:name="branding-and-identity"/>
    <w:p>
      <w:pPr>
        <w:pStyle w:val="Heading3"/>
      </w:pPr>
      <w:r>
        <w:t xml:space="preserve">4. Branding and Identity</w:t>
      </w:r>
    </w:p>
    <w:p>
      <w:pPr>
        <w:pStyle w:val="FirstParagraph"/>
      </w:pPr>
      <w:r>
        <w:rPr>
          <w:bCs/>
          <w:b/>
        </w:rPr>
        <w:t xml:space="preserve">Remember:</w:t>
      </w:r>
      <w:r>
        <w:t xml:space="preserve"> </w:t>
      </w:r>
      <w:r>
        <w:t xml:space="preserve">corporate identity / Green and Smart Mobility / Go Green For a Green Future / cyan and yellow / Danish first: Elektrisk taxa. Tjek prisen. Book i appen.</w:t>
      </w:r>
    </w:p>
    <w:p>
      <w:pPr>
        <w:pStyle w:val="BodyText"/>
      </w:pPr>
      <w:r>
        <w:rPr>
          <w:bCs/>
          <w:b/>
        </w:rPr>
        <w:t xml:space="preserve">Anchor:</w:t>
      </w:r>
      <w:r>
        <w:t xml:space="preserve"> </w:t>
      </w:r>
      <w:r>
        <w:t xml:space="preserve">Branding helps customers recognise the offer.</w:t>
      </w:r>
    </w:p>
    <w:p>
      <w:pPr>
        <w:pStyle w:val="BodyText"/>
      </w:pPr>
      <w:r>
        <w:t xml:space="preserve">The Danish line is an example execution, not a run advertisement; have a native speaker confirm it before printing. The group applies an existing identity; it did not design the logo or font.</w:t>
      </w:r>
    </w:p>
    <w:bookmarkEnd w:id="28"/>
    <w:bookmarkStart w:id="29" w:name="digital-marketing-tactics"/>
    <w:p>
      <w:pPr>
        <w:pStyle w:val="Heading3"/>
      </w:pPr>
      <w:r>
        <w:t xml:space="preserve">5. Digital Marketing Tactics</w:t>
      </w:r>
    </w:p>
    <w:p>
      <w:pPr>
        <w:pStyle w:val="FirstParagraph"/>
      </w:pPr>
      <w:r>
        <w:rPr>
          <w:bCs/>
          <w:b/>
        </w:rPr>
        <w:t xml:space="preserve">Remember:</w:t>
      </w:r>
      <w:r>
        <w:t xml:space="preserve"> </w:t>
      </w:r>
      <w:r>
        <w:t xml:space="preserve">app habits and price / ±11 pp on n=79 / 4Ps / page → app → ride/help / content / DKK15 vs DKK30 post-launch test / proposed data connection.</w:t>
      </w:r>
    </w:p>
    <w:p>
      <w:pPr>
        <w:pStyle w:val="BodyText"/>
      </w:pPr>
      <w:r>
        <w:rPr>
          <w:bCs/>
          <w:b/>
        </w:rPr>
        <w:t xml:space="preserve">Anchor:</w:t>
      </w:r>
      <w:r>
        <w:t xml:space="preserve"> </w:t>
      </w:r>
      <w:r>
        <w:t xml:space="preserve">After launch, we test the smallest incentive that converts.</w:t>
      </w:r>
    </w:p>
    <w:p>
      <w:pPr>
        <w:pStyle w:val="BodyText"/>
      </w:pPr>
      <w:r>
        <w:t xml:space="preserve">The national sample is 1,005; the separate Capital Region sample is 79 and is not Copenhagen municipality. Multiple answers were allowed. The launch offer (five 25% vouchers, capped at DKK100 a ride) ran until 30 September 2026. The new test uses fixed amounts, so it compares two clearly different incentives on any trip length.</w:t>
      </w:r>
    </w:p>
    <w:bookmarkEnd w:id="29"/>
    <w:bookmarkStart w:id="30" w:name="sales-strategies"/>
    <w:p>
      <w:pPr>
        <w:pStyle w:val="Heading3"/>
      </w:pPr>
      <w:r>
        <w:t xml:space="preserve">6. Sales Strategies</w:t>
      </w:r>
    </w:p>
    <w:p>
      <w:pPr>
        <w:pStyle w:val="FirstParagraph"/>
      </w:pPr>
      <w:r>
        <w:rPr>
          <w:bCs/>
          <w:b/>
        </w:rPr>
        <w:t xml:space="preserve">Remember:</w:t>
      </w:r>
      <w:r>
        <w:t xml:space="preserve"> </w:t>
      </w:r>
      <w:r>
        <w:t xml:space="preserve">Discover (CTR, CPC) / prospect (app installs) / First paid ride (conversion) / Experience / Feedback / Repeat.</w:t>
      </w:r>
    </w:p>
    <w:p>
      <w:pPr>
        <w:pStyle w:val="BodyText"/>
      </w:pPr>
      <w:r>
        <w:rPr>
          <w:bCs/>
          <w:b/>
        </w:rPr>
        <w:t xml:space="preserve">Anchor:</w:t>
      </w:r>
      <w:r>
        <w:t xml:space="preserve"> </w:t>
      </w:r>
      <w:r>
        <w:t xml:space="preserve">Success means a completed paid ride, not an app download.</w:t>
      </w:r>
    </w:p>
    <w:p>
      <w:pPr>
        <w:pStyle w:val="BodyText"/>
      </w:pPr>
      <w:r>
        <w:t xml:space="preserve">The metrics are diagnostics, not new targets. Reviews are unpaid. Monthly offers need frequency and cost testing. The Vietnamese membership precedent is not proof of Danish demand.</w:t>
      </w:r>
    </w:p>
    <w:bookmarkEnd w:id="30"/>
    <w:bookmarkStart w:id="31" w:name="budget-and-resource-allocation"/>
    <w:p>
      <w:pPr>
        <w:pStyle w:val="Heading3"/>
      </w:pPr>
      <w:r>
        <w:t xml:space="preserve">7. Budget and Resource Allocation</w:t>
      </w:r>
    </w:p>
    <w:p>
      <w:pPr>
        <w:pStyle w:val="FirstParagraph"/>
      </w:pPr>
      <w:r>
        <w:rPr>
          <w:bCs/>
          <w:b/>
        </w:rPr>
        <w:t xml:space="preserve">Remember:</w:t>
      </w:r>
      <w:r>
        <w:t xml:space="preserve"> </w:t>
      </w:r>
      <w:r>
        <w:t xml:space="preserve">DKK600,000 / Nov 2026–Oct 2027 / excluding VAT / delivery first / unit check / held spending / exclusions.</w:t>
      </w:r>
    </w:p>
    <w:p>
      <w:pPr>
        <w:pStyle w:val="BodyText"/>
      </w:pPr>
      <w:r>
        <w:rPr>
          <w:bCs/>
          <w:b/>
        </w:rPr>
        <w:t xml:space="preserve">Anchor:</w:t>
      </w:r>
      <w:r>
        <w:t xml:space="preserve"> </w:t>
      </w:r>
      <w:r>
        <w:t xml:space="preserve">On our assumption, the DKK165 acquisition cost is repaid after about 2.4 rides.</w:t>
      </w:r>
    </w:p>
    <w:p>
      <w:pPr>
        <w:pStyle w:val="BodyText"/>
      </w:pPr>
      <w:r>
        <w:t xml:space="preserve">460 hours × DKK600 = DKK276,000. Search and social total DKK198,000. Voucher ceiling 400 × DKK30 = DKK12,000, shared by both offer levels. DKK227 × 30% = DKK68.10; DKK165 ÷ DKK68.10 = 2.42 rides. The 30% contribution is the group’s assumption, not a Green SM margin. Recovering the whole DKK600,000 would need about 8,800 rides, which is why year one is an entry investment. The two survey waves are earmarked from contingency; no price has been quoted.</w:t>
      </w:r>
    </w:p>
    <w:bookmarkEnd w:id="31"/>
    <w:bookmarkStart w:id="32" w:name="measurement-and-evaluation"/>
    <w:p>
      <w:pPr>
        <w:pStyle w:val="Heading3"/>
      </w:pPr>
      <w:r>
        <w:t xml:space="preserve">8. Measurement and Evaluation</w:t>
      </w:r>
    </w:p>
    <w:p>
      <w:pPr>
        <w:pStyle w:val="FirstParagraph"/>
      </w:pPr>
      <w:r>
        <w:rPr>
          <w:bCs/>
          <w:b/>
        </w:rPr>
        <w:t xml:space="preserve">Remember:</w:t>
      </w:r>
      <w:r>
        <w:t xml:space="preserve"> </w:t>
      </w:r>
      <w:r>
        <w:t xml:space="preserve">consideration (n≈400 per wave) / 1,200 people / 2,500 rides / mature repeat / paid-media cost / paid-campaign scope / service floors.</w:t>
      </w:r>
    </w:p>
    <w:p>
      <w:pPr>
        <w:pStyle w:val="BodyText"/>
      </w:pPr>
      <w:r>
        <w:rPr>
          <w:bCs/>
          <w:b/>
        </w:rPr>
        <w:t xml:space="preserve">Anchor:</w:t>
      </w:r>
      <w:r>
        <w:t xml:space="preserve"> </w:t>
      </w:r>
      <w:r>
        <w:t xml:space="preserve">These targets count paid-campaign riders only, not all Green SM trips.</w:t>
      </w:r>
    </w:p>
    <w:p>
      <w:pPr>
        <w:pStyle w:val="BodyText"/>
      </w:pPr>
      <w:r>
        <w:t xml:space="preserve">DKK198,000 ÷ 1,200 = DKK165. About 400 respondents per wave can detect a ten-point change at 95% confidence and 80% power for baselines up to about 50%. A repeat rate needs complete ninety-day follow-up. Month-six 35% is an interim floor; month-twelve 50% is the target.</w:t>
      </w:r>
    </w:p>
    <w:bookmarkEnd w:id="32"/>
    <w:bookmarkStart w:id="33" w:name="creativity-and-innovation"/>
    <w:p>
      <w:pPr>
        <w:pStyle w:val="Heading3"/>
      </w:pPr>
      <w:r>
        <w:t xml:space="preserve">9. Creativity and Innovation</w:t>
      </w:r>
    </w:p>
    <w:p>
      <w:pPr>
        <w:pStyle w:val="FirstParagraph"/>
      </w:pPr>
      <w:r>
        <w:rPr>
          <w:bCs/>
          <w:b/>
        </w:rPr>
        <w:t xml:space="preserve">Remember:</w:t>
      </w:r>
      <w:r>
        <w:t xml:space="preserve"> </w:t>
      </w:r>
      <w:r>
        <w:t xml:space="preserve">targeting / dispatch / connected care / packages / neuromarketing creative test.</w:t>
      </w:r>
    </w:p>
    <w:p>
      <w:pPr>
        <w:pStyle w:val="BodyText"/>
      </w:pPr>
      <w:r>
        <w:rPr>
          <w:bCs/>
          <w:b/>
        </w:rPr>
        <w:t xml:space="preserve">Anchor:</w:t>
      </w:r>
      <w:r>
        <w:t xml:space="preserve"> </w:t>
      </w:r>
      <w:r>
        <w:t xml:space="preserve">Innovation earns its place by improving a measured customer or commercial outcome.</w:t>
      </w:r>
    </w:p>
    <w:p>
      <w:pPr>
        <w:pStyle w:val="BodyText"/>
      </w:pPr>
      <w:r>
        <w:t xml:space="preserve">The neuromarketing test compares a calm-ride creative with a fare-first creative using attention (click-through) and recall (survey). No brain-imaging research is claimed. AI dispatch matters to marketing because reliability is the brand promise and drives repeat.</w:t>
      </w:r>
    </w:p>
    <w:bookmarkEnd w:id="33"/>
    <w:bookmarkStart w:id="34" w:name="alignment-with-business-objectives"/>
    <w:p>
      <w:pPr>
        <w:pStyle w:val="Heading3"/>
      </w:pPr>
      <w:r>
        <w:t xml:space="preserve">10. Alignment with Business Objectives</w:t>
      </w:r>
    </w:p>
    <w:p>
      <w:pPr>
        <w:pStyle w:val="FirstParagraph"/>
      </w:pPr>
      <w:r>
        <w:rPr>
          <w:bCs/>
          <w:b/>
        </w:rPr>
        <w:t xml:space="preserve">Remember:</w:t>
      </w:r>
      <w:r>
        <w:t xml:space="preserve"> </w:t>
      </w:r>
      <w:r>
        <w:t xml:space="preserve">stable service / local recognition / green and smart mobility / repeat before expansion / renew–revise–stop.</w:t>
      </w:r>
    </w:p>
    <w:p>
      <w:pPr>
        <w:pStyle w:val="BodyText"/>
      </w:pPr>
      <w:r>
        <w:rPr>
          <w:bCs/>
          <w:b/>
        </w:rPr>
        <w:t xml:space="preserve">Anchor:</w:t>
      </w:r>
      <w:r>
        <w:t xml:space="preserve"> </w:t>
      </w:r>
      <w:r>
        <w:t xml:space="preserve">The business test is whether customers choose it again at a cost the business can sustain.</w:t>
      </w:r>
    </w:p>
    <w:p>
      <w:pPr>
        <w:pStyle w:val="BodyText"/>
      </w:pPr>
      <w:r>
        <w:t xml:space="preserve">Connect the previous nine sections. Do not introduce another forecast or a first-year payback promise.</w:t>
      </w:r>
    </w:p>
    <w:bookmarkEnd w:id="34"/>
    <w:bookmarkEnd w:id="35"/>
    <w:bookmarkStart w:id="36" w:name="numbers-and-terms-to-practise-aloud"/>
    <w:p>
      <w:pPr>
        <w:pStyle w:val="Heading2"/>
      </w:pPr>
      <w:r>
        <w:t xml:space="preserve">Numbers and terms to practise aloud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Display</w:t>
            </w:r>
          </w:p>
        </w:tc>
        <w:tc>
          <w:tcPr/>
          <w:p>
            <w:pPr>
              <w:pStyle w:val="Compact"/>
              <w:jc w:val="left"/>
            </w:pPr>
            <w:r>
              <w:t xml:space="preserve">Say</w:t>
            </w:r>
          </w:p>
        </w:tc>
      </w:tr>
      <w:tr>
        <w:tc>
          <w:tcPr/>
          <w:p>
            <w:pPr>
              <w:pStyle w:val="Compact"/>
              <w:jc w:val="left"/>
            </w:pPr>
            <w:r>
              <w:t xml:space="preserve">25–44</w:t>
            </w:r>
          </w:p>
        </w:tc>
        <w:tc>
          <w:tcPr/>
          <w:p>
            <w:pPr>
              <w:pStyle w:val="Compact"/>
              <w:jc w:val="left"/>
            </w:pPr>
            <w:r>
              <w:t xml:space="preserve">Twenty-five to forty-four</w:t>
            </w:r>
          </w:p>
        </w:tc>
      </w:tr>
      <w:tr>
        <w:tc>
          <w:tcPr/>
          <w:p>
            <w:pPr>
              <w:pStyle w:val="Compact"/>
              <w:jc w:val="left"/>
            </w:pPr>
            <w:r>
              <w:t xml:space="preserve">269,277</w:t>
            </w:r>
          </w:p>
        </w:tc>
        <w:tc>
          <w:tcPr/>
          <w:p>
            <w:pPr>
              <w:pStyle w:val="Compact"/>
              <w:jc w:val="left"/>
            </w:pPr>
            <w:r>
              <w:t xml:space="preserve">Two hundred and sixty-nine thousand, two hundred and seventy-seven</w:t>
            </w:r>
          </w:p>
        </w:tc>
      </w:tr>
      <w:tr>
        <w:tc>
          <w:tcPr/>
          <w:p>
            <w:pPr>
              <w:pStyle w:val="Compact"/>
              <w:jc w:val="left"/>
            </w:pPr>
            <w:r>
              <w:t xml:space="preserve">40.2%</w:t>
            </w:r>
          </w:p>
        </w:tc>
        <w:tc>
          <w:tcPr/>
          <w:p>
            <w:pPr>
              <w:pStyle w:val="Compact"/>
              <w:jc w:val="left"/>
            </w:pPr>
            <w:r>
              <w:t xml:space="preserve">Forty point two per cent</w:t>
            </w:r>
          </w:p>
        </w:tc>
      </w:tr>
      <w:tr>
        <w:tc>
          <w:tcPr/>
          <w:p>
            <w:pPr>
              <w:pStyle w:val="Compact"/>
              <w:jc w:val="left"/>
            </w:pPr>
            <w:r>
              <w:t xml:space="preserve">590 registered</w:t>
            </w:r>
          </w:p>
        </w:tc>
        <w:tc>
          <w:tcPr/>
          <w:p>
            <w:pPr>
              <w:pStyle w:val="Compact"/>
              <w:jc w:val="left"/>
            </w:pPr>
            <w:r>
              <w:t xml:space="preserve">Five hundred and ninety registered cars</w:t>
            </w:r>
          </w:p>
        </w:tc>
      </w:tr>
      <w:tr>
        <w:tc>
          <w:tcPr/>
          <w:p>
            <w:pPr>
              <w:pStyle w:val="Compact"/>
              <w:jc w:val="left"/>
            </w:pPr>
            <w:r>
              <w:t xml:space="preserve">n=1,005</w:t>
            </w:r>
          </w:p>
        </w:tc>
        <w:tc>
          <w:tcPr/>
          <w:p>
            <w:pPr>
              <w:pStyle w:val="Compact"/>
              <w:jc w:val="left"/>
            </w:pPr>
            <w:r>
              <w:t xml:space="preserve">A sample of one thousand and five respondents</w:t>
            </w:r>
          </w:p>
        </w:tc>
      </w:tr>
      <w:tr>
        <w:tc>
          <w:tcPr/>
          <w:p>
            <w:pPr>
              <w:pStyle w:val="Compact"/>
              <w:jc w:val="left"/>
            </w:pPr>
            <w:r>
              <w:t xml:space="preserve">n=79 · ±11 pp</w:t>
            </w:r>
          </w:p>
        </w:tc>
        <w:tc>
          <w:tcPr/>
          <w:p>
            <w:pPr>
              <w:pStyle w:val="Compact"/>
              <w:jc w:val="left"/>
            </w:pPr>
            <w:r>
              <w:t xml:space="preserve">A sample of seventy-nine, accurate to about eleven percentage points either way</w:t>
            </w:r>
          </w:p>
        </w:tc>
      </w:tr>
      <w:tr>
        <w:tc>
          <w:tcPr/>
          <w:p>
            <w:pPr>
              <w:pStyle w:val="Compact"/>
              <w:jc w:val="left"/>
            </w:pPr>
            <w:r>
              <w:t xml:space="preserve">DKK15 vs DKK30</w:t>
            </w:r>
          </w:p>
        </w:tc>
        <w:tc>
          <w:tcPr/>
          <w:p>
            <w:pPr>
              <w:pStyle w:val="Compact"/>
              <w:jc w:val="left"/>
            </w:pPr>
            <w:r>
              <w:t xml:space="preserve">Fifteen against thirty Danish kroner off</w:t>
            </w:r>
          </w:p>
        </w:tc>
      </w:tr>
      <w:tr>
        <w:tc>
          <w:tcPr/>
          <w:p>
            <w:pPr>
              <w:pStyle w:val="Compact"/>
              <w:jc w:val="left"/>
            </w:pPr>
            <w:r>
              <w:t xml:space="preserve">+10 pp</w:t>
            </w:r>
          </w:p>
        </w:tc>
        <w:tc>
          <w:tcPr/>
          <w:p>
            <w:pPr>
              <w:pStyle w:val="Compact"/>
              <w:jc w:val="left"/>
            </w:pPr>
            <w:r>
              <w:t xml:space="preserve">An increase of ten percentage points</w:t>
            </w:r>
          </w:p>
        </w:tc>
      </w:tr>
      <w:tr>
        <w:tc>
          <w:tcPr/>
          <w:p>
            <w:pPr>
              <w:pStyle w:val="Compact"/>
              <w:jc w:val="left"/>
            </w:pPr>
            <w:r>
              <w:t xml:space="preserve">n=400 per wave</w:t>
            </w:r>
          </w:p>
        </w:tc>
        <w:tc>
          <w:tcPr/>
          <w:p>
            <w:pPr>
              <w:pStyle w:val="Compact"/>
              <w:jc w:val="left"/>
            </w:pPr>
            <w:r>
              <w:t xml:space="preserve">About four hundred respondents in each survey wave</w:t>
            </w:r>
          </w:p>
        </w:tc>
      </w:tr>
      <w:tr>
        <w:tc>
          <w:tcPr/>
          <w:p>
            <w:pPr>
              <w:pStyle w:val="Compact"/>
              <w:jc w:val="left"/>
            </w:pPr>
            <w:r>
              <w:t xml:space="preserve">DKK600,000</w:t>
            </w:r>
          </w:p>
        </w:tc>
        <w:tc>
          <w:tcPr/>
          <w:p>
            <w:pPr>
              <w:pStyle w:val="Compact"/>
              <w:jc w:val="left"/>
            </w:pPr>
            <w:r>
              <w:t xml:space="preserve">Six hundred thousand Danish kroner</w:t>
            </w:r>
          </w:p>
        </w:tc>
      </w:tr>
      <w:tr>
        <w:tc>
          <w:tcPr/>
          <w:p>
            <w:pPr>
              <w:pStyle w:val="Compact"/>
              <w:jc w:val="left"/>
            </w:pPr>
            <w:r>
              <w:t xml:space="preserve">DKK165</w:t>
            </w:r>
          </w:p>
        </w:tc>
        <w:tc>
          <w:tcPr/>
          <w:p>
            <w:pPr>
              <w:pStyle w:val="Compact"/>
              <w:jc w:val="left"/>
            </w:pPr>
            <w:r>
              <w:t xml:space="preserve">One hundred and sixty-five Danish kroner</w:t>
            </w:r>
          </w:p>
        </w:tc>
      </w:tr>
      <w:tr>
        <w:tc>
          <w:tcPr/>
          <w:p>
            <w:pPr>
              <w:pStyle w:val="Compact"/>
              <w:jc w:val="left"/>
            </w:pPr>
            <w:r>
              <w:t xml:space="preserve">DKK68</w:t>
            </w:r>
          </w:p>
        </w:tc>
        <w:tc>
          <w:tcPr/>
          <w:p>
            <w:pPr>
              <w:pStyle w:val="Compact"/>
              <w:jc w:val="left"/>
            </w:pPr>
            <w:r>
              <w:t xml:space="preserve">Sixty-eight Danish kroner contribution per ride (assumed)</w:t>
            </w:r>
          </w:p>
        </w:tc>
      </w:tr>
      <w:tr>
        <w:tc>
          <w:tcPr/>
          <w:p>
            <w:pPr>
              <w:pStyle w:val="Compact"/>
              <w:jc w:val="left"/>
            </w:pPr>
            <w:r>
              <w:t xml:space="preserve">≥95%</w:t>
            </w:r>
          </w:p>
        </w:tc>
        <w:tc>
          <w:tcPr/>
          <w:p>
            <w:pPr>
              <w:pStyle w:val="Compact"/>
              <w:jc w:val="left"/>
            </w:pPr>
            <w:r>
              <w:t xml:space="preserve">At least ninety-five per cent</w:t>
            </w:r>
          </w:p>
        </w:tc>
      </w:tr>
      <w:tr>
        <w:tc>
          <w:tcPr/>
          <w:p>
            <w:pPr>
              <w:pStyle w:val="Compact"/>
              <w:jc w:val="left"/>
            </w:pPr>
            <w:r>
              <w:t xml:space="preserve">≤2%</w:t>
            </w:r>
          </w:p>
        </w:tc>
        <w:tc>
          <w:tcPr/>
          <w:p>
            <w:pPr>
              <w:pStyle w:val="Compact"/>
              <w:jc w:val="left"/>
            </w:pPr>
            <w:r>
              <w:t xml:space="preserve">No more than two per cent</w:t>
            </w:r>
          </w:p>
        </w:tc>
      </w:tr>
      <w:tr>
        <w:tc>
          <w:tcPr/>
          <w:p>
            <w:pPr>
              <w:pStyle w:val="Compact"/>
              <w:jc w:val="left"/>
            </w:pPr>
            <w:r>
              <w:t xml:space="preserve">Tjek prisen. Book i appen.</w:t>
            </w:r>
          </w:p>
        </w:tc>
        <w:tc>
          <w:tcPr/>
          <w:p>
            <w:pPr>
              <w:pStyle w:val="Compact"/>
              <w:jc w:val="left"/>
            </w:pPr>
            <w:r>
              <w:t xml:space="preserve">Check the price. Book in the app.</w:t>
            </w:r>
          </w:p>
        </w:tc>
      </w:tr>
      <w:tr>
        <w:tc>
          <w:tcPr/>
          <w:p>
            <w:pPr>
              <w:pStyle w:val="Compact"/>
              <w:jc w:val="left"/>
            </w:pPr>
            <w:r>
              <w:t xml:space="preserve">CAC</w:t>
            </w:r>
          </w:p>
        </w:tc>
        <w:tc>
          <w:tcPr/>
          <w:p>
            <w:pPr>
              <w:pStyle w:val="Compact"/>
              <w:jc w:val="left"/>
            </w:pPr>
            <w:r>
              <w:t xml:space="preserve">Customer acquisition cost, then C-A-C</w:t>
            </w:r>
          </w:p>
        </w:tc>
      </w:tr>
      <w:tr>
        <w:tc>
          <w:tcPr/>
          <w:p>
            <w:pPr>
              <w:pStyle w:val="Compact"/>
              <w:jc w:val="left"/>
            </w:pPr>
            <w:r>
              <w:t xml:space="preserve">CTR / CPC</w:t>
            </w:r>
          </w:p>
        </w:tc>
        <w:tc>
          <w:tcPr/>
          <w:p>
            <w:pPr>
              <w:pStyle w:val="Compact"/>
              <w:jc w:val="left"/>
            </w:pPr>
            <w:r>
              <w:t xml:space="preserve">Click-through rate / cost per click</w:t>
            </w:r>
          </w:p>
        </w:tc>
      </w:tr>
      <w:tr>
        <w:tc>
          <w:tcPr/>
          <w:p>
            <w:pPr>
              <w:pStyle w:val="Compact"/>
              <w:jc w:val="left"/>
            </w:pPr>
            <w:r>
              <w:t xml:space="preserve">CDP</w:t>
            </w:r>
          </w:p>
        </w:tc>
        <w:tc>
          <w:tcPr/>
          <w:p>
            <w:pPr>
              <w:pStyle w:val="Compact"/>
              <w:jc w:val="left"/>
            </w:pPr>
            <w:r>
              <w:t xml:space="preserve">Customer Data Platform, then C-D-P</w:t>
            </w:r>
          </w:p>
        </w:tc>
      </w:tr>
      <w:tr>
        <w:tc>
          <w:tcPr/>
          <w:p>
            <w:pPr>
              <w:pStyle w:val="Compact"/>
              <w:jc w:val="left"/>
            </w:pPr>
            <w:r>
              <w:t xml:space="preserve">Cohort</w:t>
            </w:r>
          </w:p>
        </w:tc>
        <w:tc>
          <w:tcPr/>
          <w:p>
            <w:pPr>
              <w:pStyle w:val="Compact"/>
              <w:jc w:val="left"/>
            </w:pPr>
            <w:r>
              <w:t xml:space="preserve">A defined group of customers followed over the same observation period</w:t>
            </w:r>
          </w:p>
        </w:tc>
      </w:tr>
      <w:tr>
        <w:tc>
          <w:tcPr/>
          <w:p>
            <w:pPr>
              <w:pStyle w:val="Compact"/>
              <w:jc w:val="left"/>
            </w:pPr>
            <w:r>
              <w:t xml:space="preserve">Contribution</w:t>
            </w:r>
          </w:p>
        </w:tc>
        <w:tc>
          <w:tcPr/>
          <w:p>
            <w:pPr>
              <w:pStyle w:val="Compact"/>
              <w:jc w:val="left"/>
            </w:pPr>
            <w:r>
              <w:t xml:space="preserve">Amount left after the relevant costs of serving the rides</w:t>
            </w:r>
          </w:p>
        </w:tc>
      </w:tr>
    </w:tbl>
    <w:bookmarkEnd w:id="36"/>
    <w:bookmarkStart w:id="37" w:name="X63f6a1bbdeb2a7bdf25b4d7b42e4f6d22fcf562"/>
    <w:p>
      <w:pPr>
        <w:pStyle w:val="Heading2"/>
      </w:pPr>
      <w:r>
        <w:t xml:space="preserve">Short defence answers for likely questions</w:t>
      </w:r>
    </w:p>
    <w:p>
      <w:pPr>
        <w:pStyle w:val="FirstParagraph"/>
      </w:pPr>
      <w:r>
        <w:t xml:space="preserve">The first seven rows answer the questions raised by the mock marking (D-157).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Direct answer</w:t>
            </w:r>
          </w:p>
        </w:tc>
      </w:tr>
      <w:tr>
        <w:tc>
          <w:tcPr/>
          <w:p>
            <w:pPr>
              <w:pStyle w:val="Compact"/>
              <w:jc w:val="left"/>
            </w:pPr>
            <w:r>
              <w:t xml:space="preserve">Green SM has about 590 cars; why only 2,500 rides?</w:t>
            </w:r>
          </w:p>
        </w:tc>
        <w:tc>
          <w:tcPr/>
          <w:p>
            <w:pPr>
              <w:pStyle w:val="Compact"/>
              <w:jc w:val="left"/>
            </w:pPr>
            <w:r>
              <w:t xml:space="preserve">The regulator calls the 590 potential capacity, not active taxis. The 2,500 counts only riders our paid campaigns acquire; organic and referral demand is tracked separately.</w:t>
            </w:r>
          </w:p>
        </w:tc>
      </w:tr>
      <w:tr>
        <w:tc>
          <w:tcPr/>
          <w:p>
            <w:pPr>
              <w:pStyle w:val="Compact"/>
              <w:jc w:val="left"/>
            </w:pPr>
            <w:r>
              <w:t xml:space="preserve">Where does DKK600,000 come from?</w:t>
            </w:r>
          </w:p>
        </w:tc>
        <w:tc>
          <w:tcPr/>
          <w:p>
            <w:pPr>
              <w:pStyle w:val="Compact"/>
              <w:jc w:val="left"/>
            </w:pPr>
            <w:r>
              <w:t xml:space="preserve">A group-chosen market-entry envelope, preferred to a DKK240,000 learning pilot and built bottom-up from hours, media envelopes, a published screen rate card and tools. Release is gated at M4 and M6.</w:t>
            </w:r>
          </w:p>
        </w:tc>
      </w:tr>
      <w:tr>
        <w:tc>
          <w:tcPr/>
          <w:p>
            <w:pPr>
              <w:pStyle w:val="Compact"/>
              <w:jc w:val="left"/>
            </w:pPr>
            <w:r>
              <w:t xml:space="preserve">Price-conscious riders but a quality position?</w:t>
            </w:r>
          </w:p>
        </w:tc>
        <w:tc>
          <w:tcPr/>
          <w:p>
            <w:pPr>
              <w:pStyle w:val="Compact"/>
              <w:jc w:val="left"/>
            </w:pPr>
            <w:r>
              <w:t xml:space="preserve">Fares are at parity with Dantaxi and Drivr, so price cannot differentiate. A clear fare and a first-ride voucher lower trial risk; the service standard earns repeat.</w:t>
            </w:r>
          </w:p>
        </w:tc>
      </w:tr>
      <w:tr>
        <w:tc>
          <w:tcPr/>
          <w:p>
            <w:pPr>
              <w:pStyle w:val="Compact"/>
              <w:jc w:val="left"/>
            </w:pPr>
            <w:r>
              <w:t xml:space="preserve">Why a smaller voucher than the launch offer?</w:t>
            </w:r>
          </w:p>
        </w:tc>
        <w:tc>
          <w:tcPr/>
          <w:p>
            <w:pPr>
              <w:pStyle w:val="Compact"/>
              <w:jc w:val="left"/>
            </w:pPr>
            <w:r>
              <w:t xml:space="preserve">The launch offer ran until 30 September 2026. After launch we test the smallest incentive that converts and judge it on ninety-day repeat, not on trial alone.</w:t>
            </w:r>
          </w:p>
        </w:tc>
      </w:tr>
      <w:tr>
        <w:tc>
          <w:tcPr/>
          <w:p>
            <w:pPr>
              <w:pStyle w:val="Compact"/>
              <w:jc w:val="left"/>
            </w:pPr>
            <w:r>
              <w:t xml:space="preserve">How is Green SM different from Viggo, which is also electric?</w:t>
            </w:r>
          </w:p>
        </w:tc>
        <w:tc>
          <w:tcPr/>
          <w:p>
            <w:pPr>
              <w:pStyle w:val="Compact"/>
              <w:jc w:val="left"/>
            </w:pPr>
            <w:r>
              <w:t xml:space="preserve">Electric options are shared. The regulator’s 2026 decision says existing dispatch offices have no employed drivers; Viggo now runs as Bolt inside Bolt’s app. The difference is direct control of app, fleet and drivers.</w:t>
            </w:r>
          </w:p>
        </w:tc>
      </w:tr>
      <w:tr>
        <w:tc>
          <w:tcPr/>
          <w:p>
            <w:pPr>
              <w:pStyle w:val="Compact"/>
              <w:jc w:val="left"/>
            </w:pPr>
            <w:r>
              <w:t xml:space="preserve">+10 pp from which baseline?</w:t>
            </w:r>
          </w:p>
        </w:tc>
        <w:tc>
          <w:tcPr/>
          <w:p>
            <w:pPr>
              <w:pStyle w:val="Compact"/>
              <w:jc w:val="left"/>
            </w:pPr>
            <w:r>
              <w:t xml:space="preserve">The same target-market survey in M1–2 and M12, about 400 respondents per wave.</w:t>
            </w:r>
          </w:p>
        </w:tc>
      </w:tr>
      <w:tr>
        <w:tc>
          <w:tcPr/>
          <w:p>
            <w:pPr>
              <w:pStyle w:val="Compact"/>
              <w:jc w:val="left"/>
            </w:pPr>
            <w:r>
              <w:t xml:space="preserve">AI dispatch is operations, not marketing?</w:t>
            </w:r>
          </w:p>
        </w:tc>
        <w:tc>
          <w:tcPr/>
          <w:p>
            <w:pPr>
              <w:pStyle w:val="Compact"/>
              <w:jc w:val="left"/>
            </w:pPr>
            <w:r>
              <w:t xml:space="preserve">In a service, reliability is part of the product and the brand promise. Dispatch is judged on match time, fulfilment and cancellations, which drive repeat.</w:t>
            </w:r>
          </w:p>
        </w:tc>
      </w:tr>
      <w:tr>
        <w:tc>
          <w:tcPr/>
          <w:p>
            <w:pPr>
              <w:pStyle w:val="Compact"/>
              <w:jc w:val="left"/>
            </w:pPr>
            <w:r>
              <w:t xml:space="preserve">Is the 57% figure Copenhagen-specific?</w:t>
            </w:r>
          </w:p>
        </w:tc>
        <w:tc>
          <w:tcPr/>
          <w:p>
            <w:pPr>
              <w:pStyle w:val="Compact"/>
              <w:jc w:val="left"/>
            </w:pPr>
            <w:r>
              <w:t xml:space="preserve">No. Capital Region subsample of 79, multiple answers, about ±11 points.</w:t>
            </w:r>
          </w:p>
        </w:tc>
      </w:tr>
      <w:tr>
        <w:tc>
          <w:tcPr/>
          <w:p>
            <w:pPr>
              <w:pStyle w:val="Compact"/>
              <w:jc w:val="left"/>
            </w:pPr>
            <w:r>
              <w:t xml:space="preserve">Does DKK165 include all marketing costs?</w:t>
            </w:r>
          </w:p>
        </w:tc>
        <w:tc>
          <w:tcPr/>
          <w:p>
            <w:pPr>
              <w:pStyle w:val="Compact"/>
              <w:jc w:val="left"/>
            </w:pPr>
            <w:r>
              <w:t xml:space="preserve">No. Search and social spend per distinct paid-attributed first rider. Team, screens, tools and vouchers are separate.</w:t>
            </w:r>
          </w:p>
        </w:tc>
      </w:tr>
      <w:tr>
        <w:tc>
          <w:tcPr/>
          <w:p>
            <w:pPr>
              <w:pStyle w:val="Compact"/>
              <w:jc w:val="left"/>
            </w:pPr>
            <w:r>
              <w:t xml:space="preserve">Can the budget implement all the AI pilots?</w:t>
            </w:r>
          </w:p>
        </w:tc>
        <w:tc>
          <w:tcPr/>
          <w:p>
            <w:pPr>
              <w:pStyle w:val="Compact"/>
              <w:jc w:val="left"/>
            </w:pPr>
            <w:r>
              <w:t xml:space="preserve">No. Dispatch, chatbot and package builds need separate costing, data access and a pilot decision.</w:t>
            </w:r>
          </w:p>
        </w:tc>
      </w:tr>
      <w:tr>
        <w:tc>
          <w:tcPr/>
          <w:p>
            <w:pPr>
              <w:pStyle w:val="Compact"/>
              <w:jc w:val="left"/>
            </w:pPr>
            <w:r>
              <w:t xml:space="preserve">What if the month-six conditions are not met?</w:t>
            </w:r>
          </w:p>
        </w:tc>
        <w:tc>
          <w:tcPr/>
          <w:p>
            <w:pPr>
              <w:pStyle w:val="Compact"/>
              <w:jc w:val="left"/>
            </w:pPr>
            <w:r>
              <w:t xml:space="preserve">Hold the next release, diagnose the weak measure and reassess. Incomplete repeat windows postpone the scale decision.</w:t>
            </w:r>
          </w:p>
        </w:tc>
      </w:tr>
      <w:tr>
        <w:tc>
          <w:tcPr/>
          <w:p>
            <w:pPr>
              <w:pStyle w:val="Compact"/>
              <w:jc w:val="left"/>
            </w:pPr>
            <w:r>
              <w:t xml:space="preserve">Does year one need break-even?</w:t>
            </w:r>
          </w:p>
        </w:tc>
        <w:tc>
          <w:tcPr/>
          <w:p>
            <w:pPr>
              <w:pStyle w:val="Compact"/>
              <w:jc w:val="left"/>
            </w:pPr>
            <w:r>
              <w:t xml:space="preserve">No. It is an entry investment; at the assumed DKK68 per ride, full recovery needs about 8,800 rides. Service, retention and contribution decide renew, revise or stop.</w:t>
            </w:r>
          </w:p>
        </w:tc>
      </w:tr>
    </w:tbl>
    <w:p>
      <w:pPr>
        <w:pStyle w:val="BodyText"/>
      </w:pPr>
      <w:r>
        <w:t xml:space="preserve">These are preparation questions, not questions known to have been asked by the lecturer. The group has not yet assigned Q&amp;A owners.</w:t>
      </w:r>
    </w:p>
    <w:bookmarkEnd w:id="37"/>
    <w:bookmarkStart w:id="38" w:name="how-to-learn-and-rehearse"/>
    <w:p>
      <w:pPr>
        <w:pStyle w:val="Heading2"/>
      </w:pPr>
      <w:r>
        <w:t xml:space="preserve">How to learn and rehearse</w:t>
      </w:r>
    </w:p>
    <w:p>
      <w:pPr>
        <w:numPr>
          <w:ilvl w:val="0"/>
          <w:numId w:val="1001"/>
        </w:numPr>
        <w:pStyle w:val="Compact"/>
      </w:pPr>
      <w:r>
        <w:t xml:space="preserve">Learn the one-sentence argument and each section’s anchor first.</w:t>
      </w:r>
    </w:p>
    <w:p>
      <w:pPr>
        <w:numPr>
          <w:ilvl w:val="0"/>
          <w:numId w:val="1001"/>
        </w:numPr>
        <w:pStyle w:val="Compact"/>
      </w:pPr>
      <w:r>
        <w:t xml:space="preserve">Explain each diagram from its cue words without looking at the full script.</w:t>
      </w:r>
    </w:p>
    <w:p>
      <w:pPr>
        <w:numPr>
          <w:ilvl w:val="0"/>
          <w:numId w:val="1001"/>
        </w:numPr>
        <w:pStyle w:val="Compact"/>
      </w:pPr>
      <w:r>
        <w:t xml:space="preserve">Use the script to repair missing reasoning and qualifiers. Do not memorise citations or read URLs.</w:t>
      </w:r>
    </w:p>
    <w:p>
      <w:pPr>
        <w:numPr>
          <w:ilvl w:val="0"/>
          <w:numId w:val="1001"/>
        </w:numPr>
        <w:pStyle w:val="Compact"/>
      </w:pPr>
      <w:r>
        <w:t xml:space="preserve">Practise the numbers, percentage points, cohort, paid acquisition and the Danish line.</w:t>
      </w:r>
    </w:p>
    <w:p>
      <w:pPr>
        <w:numPr>
          <w:ilvl w:val="0"/>
          <w:numId w:val="1001"/>
        </w:numPr>
        <w:pStyle w:val="Compact"/>
      </w:pPr>
      <w:r>
        <w:t xml:space="preserve">Run a timed group rehearsal with pointing and handovers. Record actual times before claiming the pitch fits fifteen minutes.</w:t>
      </w:r>
    </w:p>
    <w:p>
      <w:pPr>
        <w:numPr>
          <w:ilvl w:val="0"/>
          <w:numId w:val="1001"/>
        </w:numPr>
        <w:pStyle w:val="Compact"/>
      </w:pPr>
      <w:r>
        <w:t xml:space="preserve">If a section runs long, remove repeated explanation. Keep sample scope, cost scope and proposed-target qualifiers.</w:t>
      </w:r>
    </w:p>
    <w:bookmarkEnd w:id="38"/>
    <w:bookmarkStart w:id="39" w:name="status-and-checks"/>
    <w:p>
      <w:pPr>
        <w:pStyle w:val="Heading2"/>
      </w:pPr>
      <w:r>
        <w:t xml:space="preserve">Status and checks</w:t>
      </w:r>
    </w:p>
    <w:p>
      <w:pPr>
        <w:pStyle w:val="FirstParagraph"/>
      </w:pPr>
      <w:r>
        <w:t xml:space="preserve">Matches the content-upgrade proof v01 (D-158). The</w:t>
      </w:r>
      <w:r>
        <w:t xml:space="preserve"> </w:t>
      </w:r>
      <w:r>
        <w:rPr>
          <w:rStyle w:val="VerbatimChar"/>
        </w:rPr>
        <w:t xml:space="preserve">mba-presentation-style</w:t>
      </w:r>
      <w:r>
        <w:t xml:space="preserve"> </w:t>
      </w:r>
      <w:r>
        <w:t xml:space="preserve">pitch checker was not available in the cloud session that drafted v02, so no checker result is claimed; run it locally before rehearsal. Word counts above reproduce the v01 convention exactly (v01 recount: 1,582). New sources: Konkurrence- og Forbrugerstyrelsen (2026a), Green SM Denmark ApS (no date b) and Lewis (2026), all registered with verified PDF identity. No spoken recording, rehearsal or member allocation has been assessed.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presentation-script-v02-2026-10-07.md" TargetMode="External" /><Relationship Type="http://schemas.openxmlformats.org/officeDocument/2006/relationships/hyperlink" Id="rId21" Target="presentation-study-guide-v01-2026-10-05.md" TargetMode="External" /></Relationships>
</file>

<file path=word/_rels/footnotes.xml.rels><?xml version="1.0" encoding="UTF-8"?><Relationships xmlns="http://schemas.openxmlformats.org/package/2006/relationships"><Relationship Type="http://schemas.openxmlformats.org/officeDocument/2006/relationships/hyperlink" Id="rId20" Target="presentation-script-v02-2026-10-07.md" TargetMode="External" /><Relationship Type="http://schemas.openxmlformats.org/officeDocument/2006/relationships/hyperlink" Id="rId21" Target="presentation-study-guide-v01-2026-10-05.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2026-10-07T05:16:18Z</dcterms:created>
  <dcterms:modified xsi:type="dcterms:W3CDTF">2026-10-07T05:16:18Z</dcterms:modified>
</cp:coreProperties>
</file>

<file path=docProps/custom.xml><?xml version="1.0" encoding="utf-8"?>
<Properties xmlns="http://schemas.openxmlformats.org/officeDocument/2006/custom-properties" xmlns:vt="http://schemas.openxmlformats.org/officeDocument/2006/docPropsVTypes"/>
</file>