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250d198028ff6a97cefad13a9484424d6038f0"/>
    <w:p>
      <w:pPr>
        <w:pStyle w:val="Heading1"/>
      </w:pPr>
      <w:r>
        <w:t xml:space="preserve">Presentation study guide — Copenhagen, meet Green SM</w:t>
      </w:r>
    </w:p>
    <w:p>
      <w:pPr>
        <w:pStyle w:val="FirstParagraph"/>
      </w:pPr>
      <w:r>
        <w:t xml:space="preserve">Date: 7 October 2026 (D-163). Study companion to</w:t>
      </w:r>
      <w:r>
        <w:t xml:space="preserve"> </w:t>
      </w:r>
      <w:hyperlink r:id="rId20">
        <w:r>
          <w:rPr>
            <w:rStyle w:val="Hyperlink"/>
          </w:rPr>
          <w:t xml:space="preserve">the full script v03</w:t>
        </w:r>
      </w:hyperlink>
      <w:r>
        <w:t xml:space="preserve">, matching the scaled-plan proof v04 and</w:t>
      </w:r>
      <w:r>
        <w:t xml:space="preserve"> </w:t>
      </w:r>
      <w:hyperlink r:id="rId21">
        <w:r>
          <w:rPr>
            <w:rStyle w:val="Hyperlink"/>
          </w:rPr>
          <w:t xml:space="preserve">copy v46</w:t>
        </w:r>
      </w:hyperlink>
      <w:r>
        <w:t xml:space="preserve">. Every number comes from</w:t>
      </w:r>
      <w:r>
        <w:t xml:space="preserve"> </w:t>
      </w:r>
      <w:hyperlink r:id="rId22">
        <w:r>
          <w:rPr>
            <w:rStyle w:val="Hyperlink"/>
          </w:rPr>
          <w:t xml:space="preserve">the scale-plan model</w:t>
        </w:r>
      </w:hyperlink>
      <w:r>
        <w:t xml:space="preserve">. This is a draft for group review, not evidence of a completed rehearsal or agreed speaking allocation.</w:t>
      </w:r>
      <w:r>
        <w:t xml:space="preserve"> </w:t>
      </w:r>
      <w:hyperlink r:id="rId23">
        <w:r>
          <w:rPr>
            <w:rStyle w:val="Hyperlink"/>
          </w:rPr>
          <w:t xml:space="preserve">v02</w:t>
        </w:r>
      </w:hyperlink>
      <w:r>
        <w:t xml:space="preserve"> </w:t>
      </w:r>
      <w:r>
        <w:t xml:space="preserve">is preserved.</w:t>
      </w:r>
    </w:p>
    <w:bookmarkStart w:id="24" w:name="the-argument-to-remember"/>
    <w:p>
      <w:pPr>
        <w:pStyle w:val="Heading2"/>
      </w:pPr>
      <w:r>
        <w:t xml:space="preserve">The argument to remember</w:t>
      </w:r>
    </w:p>
    <w:p>
      <w:pPr>
        <w:pStyle w:val="FirstParagraph"/>
      </w:pPr>
      <w:r>
        <w:rPr>
          <w:bCs/>
          <w:b/>
        </w:rPr>
        <w:t xml:space="preserve">A 590-car fleet needs a city-wide entry → a focus segment that leads three others → one service standard at parity fares → Copenhagen, meet Green SM → paid trips and repeat → money released only through gates.</w:t>
      </w:r>
    </w:p>
    <w:p>
      <w:pPr>
        <w:pStyle w:val="BodyText"/>
      </w:pPr>
      <w:r>
        <w:t xml:space="preserve">The cyan arrows on the poster are the argument. Point along them when moving from one section to the next.</w:t>
      </w:r>
    </w:p>
    <w:bookmarkEnd w:id="24"/>
    <w:bookmarkStart w:id="25" w:name="timing-and-provisional-speaking-roles"/>
    <w:p>
      <w:pPr>
        <w:pStyle w:val="Heading2"/>
      </w:pPr>
      <w:r>
        <w:t xml:space="preserve">Timing and provisional speaking roles</w:t>
      </w:r>
    </w:p>
    <w:p>
      <w:pPr>
        <w:pStyle w:val="FirstParagraph"/>
      </w:pPr>
      <w:r>
        <w:t xml:space="preserve">The allocations total 15 minutes, followed by the brief’s separate five-minute Q&amp;A. Speaker A/B/C are role labels, not assigned member names or contribution claims. Every member should understand all ten sections.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point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then the cyan arrows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Company/Business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0:45–1:45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owned fleet (590 registered), flags, 1st EU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Target Market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1:45–3:15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25–44 bar, four segments, rider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Positioning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3:15–4:30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Statement, both columns, Parity and Edge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Branding and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4:30–5:30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tagline, campaign line, Danish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Digital Marketing Tactics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Surveys, 4Ps, Channel → KPI, offer, launch box,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Sales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7:30–9:00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Five-stage journey, Channels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Budget and Resource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Total, base-case footnote, largest bars,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Measurement and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11:00–12:45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cards, CAC definition, service row, M4/M6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Creativity and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12:45–14:15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pilot boxes, neuromarketing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Alignment with Business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14:15–15:00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goals, M12 review, whole poster</w:t>
            </w:r>
          </w:p>
        </w:tc>
      </w:tr>
    </w:tbl>
    <w:p>
      <w:pPr>
        <w:pStyle w:val="BodyText"/>
      </w:pPr>
      <w:r>
        <w:t xml:space="preserve">Script check: 1,613 words under the v01 counting convention (headings, directions and References excluded; written citation tokens retained). At 120 words per minute that is about 13 minutes 26 seconds; without the 139 citation tokens, which are not read aloud, about 12 minutes 17 seconds. This is a mechanical estimate, not a timed rehearsal; the spare minute absorbs pointing and handovers.</w:t>
      </w:r>
    </w:p>
    <w:bookmarkEnd w:id="25"/>
    <w:bookmarkStart w:id="37" w:name="cue-cards-by-section"/>
    <w:p>
      <w:pPr>
        <w:pStyle w:val="Heading2"/>
      </w:pPr>
      <w:r>
        <w:t xml:space="preserve">Cue cards by section</w:t>
      </w:r>
    </w:p>
    <w:bookmarkStart w:id="2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Nov 2026–Oct 2027 / 590 registered cars / DKK30M in stages / arrows / proposals, not results.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We sized the plan to fill a fleet, not to run a pilot.</w:t>
      </w:r>
    </w:p>
    <w:bookmarkEnd w:id="26"/>
    <w:bookmarkStart w:id="27" w:name="companybusiness-introduction"/>
    <w:p>
      <w:pPr>
        <w:pStyle w:val="Heading3"/>
      </w:pPr>
      <w:r>
        <w:t xml:space="preserve">1. Company/Business Introduction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Vietnam / March 2023 / Vingroup / app–fleet–drivers / Denmark 30 July 2026 = 1st European market / 590 = potential capacity / regulator: significant marketing investment.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That is why our budget is sized for the fleet, not for a test.</w:t>
      </w:r>
    </w:p>
    <w:p>
      <w:pPr>
        <w:pStyle w:val="BodyText"/>
      </w:pPr>
      <w:r>
        <w:t xml:space="preserve">The 590 figure is registrations, not cars in service. The regulator’s sentence is an assessment of what entry requires, not a budget figure.</w:t>
      </w:r>
    </w:p>
    <w:bookmarkEnd w:id="27"/>
    <w:bookmarkStart w:id="28" w:name="target-market-analysis"/>
    <w:p>
      <w:pPr>
        <w:pStyle w:val="Heading3"/>
      </w:pPr>
      <w:r>
        <w:t xml:space="preserve">2. Target Market Analysis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focus 25–44 (self-paying, taxi users, recurring trips) / 269,277 = 40.2% / ~100,000 regular riders = 38% of 25–44 / four segments: focus M1+, all adults M1+, business M4+, visitors + airport M6+ / 57% price / 41% green habit / trip control (hypothesis).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One segment cannot fill the fleet.</w:t>
      </w:r>
    </w:p>
    <w:p>
      <w:pPr>
        <w:pStyle w:val="BodyText"/>
      </w:pPr>
      <w:r>
        <w:t xml:space="preserve">269,277 is a pool, not a forecast. The 57% is a Capital Region subsample of 79 (±11 points), multiple answers allowed. The 41% is a national Danish figure for walking, cycling, public transport or car-sharing, not demand for electric taxis.</w:t>
      </w:r>
    </w:p>
    <w:bookmarkEnd w:id="28"/>
    <w:bookmarkStart w:id="29" w:name="positioning-strategy"/>
    <w:p>
      <w:pPr>
        <w:pStyle w:val="Heading3"/>
      </w:pPr>
      <w:r>
        <w:t xml:space="preserve">3. Positioning Strategy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electric rides, one managed experience / 100% electric / one company runs app, car + driver / Uber + Dantaxi 40–50% (revenue, Jan–May 2025) / partner operators / parity: booking, electric options, DKK39–42 fares / edge: one service standard.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Ownership gives control; it does not by itself prove better service.</w:t>
      </w:r>
    </w:p>
    <w:p>
      <w:pPr>
        <w:pStyle w:val="BodyText"/>
      </w:pPr>
      <w:r>
        <w:t xml:space="preserve">Do not claim rivals lack professional drivers or support. The Dantaxi sale is required, not completed. Bolt’s fares are not in the published comparison.</w:t>
      </w:r>
    </w:p>
    <w:bookmarkEnd w:id="29"/>
    <w:bookmarkStart w:id="30" w:name="branding-and-identity"/>
    <w:p>
      <w:pPr>
        <w:pStyle w:val="Heading3"/>
      </w:pPr>
      <w:r>
        <w:t xml:space="preserve">4. Branding and Identity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existing identity / Copenhagen, meet Green SM = launch campaign / Go Green, For a Green Future / København, mød Green SM / Elektrisk taxa. Tjek prisen. Book i appen.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The campaign invites the first ride; the service has to earn the second.</w:t>
      </w:r>
    </w:p>
    <w:p>
      <w:pPr>
        <w:pStyle w:val="BodyText"/>
      </w:pPr>
      <w:r>
        <w:t xml:space="preserve">The group applies an existing identity; it did not design the logo or font. Both Danish lines need a native speaker’s check before printing.</w:t>
      </w:r>
    </w:p>
    <w:bookmarkEnd w:id="30"/>
    <w:bookmarkStart w:id="31" w:name="digital-marketing-tactics"/>
    <w:p>
      <w:pPr>
        <w:pStyle w:val="Heading3"/>
      </w:pPr>
      <w:r>
        <w:t xml:space="preserve">5. Digital Marketing Tactics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70–90% have 0–1 taxi apps (n=1,005) / 57% price, 22% habit (n=79) / 4Ps / search → installs, Instagram + Facebook → CTR, screens + video → awareness, page → visits, CRM → repeat / DKK15 vs DKK30, one per rider / M1–3 test, M4/M6 gates, M7–12 scale.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The evidence points to one battle: the app on the phone.</w:t>
      </w:r>
    </w:p>
    <w:p>
      <w:pPr>
        <w:pStyle w:val="BodyText"/>
      </w:pPr>
      <w:r>
        <w:t xml:space="preserve">70–90% adds two published ranges (0 apps 30–40%, 1 app 40–50%); never quote a midpoint. Platforms are the group’s choice; no registered source gives platform shares for Copenhagen.</w:t>
      </w:r>
    </w:p>
    <w:bookmarkEnd w:id="31"/>
    <w:bookmarkStart w:id="32" w:name="sales-strategies"/>
    <w:p>
      <w:pPr>
        <w:pStyle w:val="Heading3"/>
      </w:pPr>
      <w:r>
        <w:t xml:space="preserve">6. Sales Strategies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Discover → First paid ride (now or 30 days ahead) → Experience → Feedback (unpaid reviews) → Repeat (reminders, referral, commuter pass) / app · B2B via LinkedIn M4+ · partners M6+.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Success is a completed paid ride, not a download.</w:t>
      </w:r>
    </w:p>
    <w:bookmarkEnd w:id="32"/>
    <w:bookmarkStart w:id="33" w:name="budget-and-resource-allocation"/>
    <w:p>
      <w:pPr>
        <w:pStyle w:val="Heading3"/>
      </w:pPr>
      <w:r>
        <w:t xml:space="preserve">7. Budget and Resource Allocation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DKK30.0M / objective-and-task / 450 cars × 15 trips/day × DKK200 ≈ DKK493M → about 6% / bars 7.0 · 6.0 · 5.0 · 4.6 · 2.4 · 2.0 · 1.0 · 2.0 / caps DKK7.5M (M4), DKK13.5M (M6), DKK16.5M held.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Our earlier DKK600,000 was about 0.1 per cent: a pilot, not a market entry.</w:t>
      </w:r>
    </w:p>
    <w:p>
      <w:pPr>
        <w:pStyle w:val="BodyText"/>
      </w:pPr>
      <w:r>
        <w:t xml:space="preserve">Working: 450 × 15 × 365 = 2,463,750 trips × DKK200 = DKK492.8M; DKK30M ÷ DKK492.8M = 6.1%. Screens: 20M ÷ 1,000 × DKK191 = DKK3.82M (list rate; excludes the DKK4,995 setup fee and production). Incentives: 150,000 × DKK30 = DKK4.5M ≤ DKK4.6M. Held at M6: DKK14.5M scale release + DKK2.0M contingency = DKK16.5M; DKK13.5M + DKK16.5M = DKK30.0M. The base case is the group’s assumption, not a Green SM figure.</w:t>
      </w:r>
    </w:p>
    <w:bookmarkEnd w:id="33"/>
    <w:bookmarkStart w:id="34" w:name="measurement-and-evaluation"/>
    <w:p>
      <w:pPr>
        <w:pStyle w:val="Heading3"/>
      </w:pPr>
      <w:r>
        <w:t xml:space="preserve">8. Measurement and Evaluation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≥50% aided awareness (n≈400 per wave) / 150,000 first paid riders / 2.5M paid trips (15/car/day average) / ≥50% 90-day repeat / media CAC ≤DKK100 / M4: 25,000 + CAC ≤DKK120 / M6: 55,000 + ≥10 trips/car/day + ≥35% repeat / ≥100 business accounts.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Ten is a floor for releasing money, not the plan.</w:t>
      </w:r>
    </w:p>
    <w:p>
      <w:pPr>
        <w:pStyle w:val="BodyText"/>
      </w:pPr>
      <w:r>
        <w:t xml:space="preserve">Media CAC = (search + social) ÷ first paid riders = DKK13M ÷ 150,000 = DKK86.7; all-in DKK30M ÷ 150,000 = DKK200. 2.5M trips ≈ 450 cars × 15 × 365. Riders: 2.46M trips ÷ 24 trips a year ≈ 102,700 regular riders; × 1.5 for churn ≈ 154,000 first riders, rounded to the 150,000 target. A repeat rate needs complete ninety-day follow-up.</w:t>
      </w:r>
    </w:p>
    <w:bookmarkEnd w:id="34"/>
    <w:bookmarkStart w:id="35" w:name="creativity-and-innovation"/>
    <w:p>
      <w:pPr>
        <w:pStyle w:val="Heading3"/>
      </w:pPr>
      <w:r>
        <w:t xml:space="preserve">9. Creativity and Innovation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weather + night triggers / dispatch vs local baseline / one trip ID + FAQ bot → human / pay-per-trip vs commuter pass / calm-ride vs fare-first test / unpriced.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A faster match is worthless if service falls.</w:t>
      </w:r>
    </w:p>
    <w:p>
      <w:pPr>
        <w:pStyle w:val="BodyText"/>
      </w:pPr>
      <w:r>
        <w:t xml:space="preserve">No brain-imaging research is claimed. Each pilot needs its own costing and data access.</w:t>
      </w:r>
    </w:p>
    <w:bookmarkEnd w:id="35"/>
    <w:bookmarkStart w:id="36" w:name="alignment-with-business-objectives"/>
    <w:p>
      <w:pPr>
        <w:pStyle w:val="Heading3"/>
      </w:pPr>
      <w:r>
        <w:t xml:space="preserve">10. Alignment with Business Objectives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stable operation (service gates) / local recognition (campaign + 50%) / green and smart (electric, app-booked) / sustainable growth (repeat + trips per car) / renew–revise–stop.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Does Copenhagen come back for a second ride?</w:t>
      </w:r>
    </w:p>
    <w:bookmarkEnd w:id="36"/>
    <w:bookmarkEnd w:id="37"/>
    <w:bookmarkStart w:id="38" w:name="numbers-and-terms-to-practise-aloud"/>
    <w:p>
      <w:pPr>
        <w:pStyle w:val="Heading2"/>
      </w:pPr>
      <w:r>
        <w:t xml:space="preserve">Numbers and terms to practise aloud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DKK30.0M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million Danish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DKK7.5M / DKK13.5M / DKK16.5M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and a half / thirteen and a half / sixteen and a half million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 cars × 15 trips/day × DKK200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hundred and fifty cars, fifteen trips a day, two hundred kroner a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269,277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and sixty-nine thousand, two hundred and seventy-seven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Forty point two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seventy and ninety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n=79 · ±11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sample of seventy-nine, accurate to about eleven percentage points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hundred and fifty thousand first paid riders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and a half million paid 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≤DKK100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one hundred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≥95% / ≤2%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ninety-five per cent / no more than two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København, mød Green 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Copenhagen, meet Green 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Tjek prisen. Book i appen.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price. Book in the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acquisition cost, then C-A-C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customers followed over the same period</w:t>
            </w:r>
          </w:p>
        </w:tc>
      </w:tr>
    </w:tbl>
    <w:bookmarkEnd w:id="38"/>
    <w:bookmarkStart w:id="39" w:name="X63f6a1bbdeb2a7bdf25b4d7b42e4f6d22fcf562"/>
    <w:p>
      <w:pPr>
        <w:pStyle w:val="Heading2"/>
      </w:pPr>
      <w:r>
        <w:t xml:space="preserve">Short defence answers for likely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DKK30 million, not DKK600,000?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methods agree: objective and task (about 150,000 first riders to fill the base case) and about 6% of base-case revenue. DKK600,000 would be about 0.1% of revenue, a pilot. The regulator says awareness needs significant marketing investment.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base case realistic?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a labelled assumption. At 10 trips per car per day, revenue falls to about DKK329M and the budget becomes about 9% of it; the M4 and M6 gates hold money back if demand is lower.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SM plans 3,000 drivers; why not plan for that?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ambition was reported in the press and publicly doubted; it is not registered evidence. The 590 registered cars are the documented capacity, and the regulator calls even those potential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still focus on 25–44?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the largest adult group and the lecturer asked for an age priority. The other three segments are added in stages, because one segment cannot fill the fleet.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 the M6 trips floor and the target differ?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Fifteen is the planned average; ten is the minimum for releasing more money. Below it, we hold the next release and diagnose.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DKK100 include all costs?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Media CAC counts search and social only, about DKK87 in the plan. The whole budget per first rider is about DKK200.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Price-conscious riders but a service position?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Fares are at parity, so price cannot differentiate. The offer lowers trial risk; the service standard earns repeat.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Green SM different from Viggo, which is also electric?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options are shared. The regulator says existing dispatch offices have no employed drivers; Green SM runs app, fleet and drivers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budget fund the AI pilots?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They are unpriced and need separate costing and data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if the month-six floors are missed?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the scale release, diagnose the weak measure and revise. Incomplete ninety-day windows postpone the decision.</w:t>
            </w:r>
          </w:p>
        </w:tc>
      </w:tr>
    </w:tbl>
    <w:p>
      <w:pPr>
        <w:pStyle w:val="BodyText"/>
      </w:pPr>
      <w:r>
        <w:t xml:space="preserve">These are preparation questions, not questions known to have been asked by the lecturer. The group has not yet assigned Q&amp;A owners.</w:t>
      </w:r>
    </w:p>
    <w:bookmarkEnd w:id="39"/>
    <w:bookmarkStart w:id="40" w:name="how-to-learn-and-rehearse"/>
    <w:p>
      <w:pPr>
        <w:pStyle w:val="Heading2"/>
      </w:pPr>
      <w:r>
        <w:t xml:space="preserve">How to learn and rehearse</w:t>
      </w:r>
    </w:p>
    <w:p>
      <w:pPr>
        <w:numPr>
          <w:ilvl w:val="0"/>
          <w:numId w:val="1001"/>
        </w:numPr>
        <w:pStyle w:val="Compact"/>
      </w:pPr>
      <w:r>
        <w:t xml:space="preserve">Learn the one-sentence argument, then each anchor.</w:t>
      </w:r>
    </w:p>
    <w:p>
      <w:pPr>
        <w:numPr>
          <w:ilvl w:val="0"/>
          <w:numId w:val="1001"/>
        </w:numPr>
        <w:pStyle w:val="Compact"/>
      </w:pPr>
      <w:r>
        <w:t xml:space="preserve">Walk the arrows on the poster and explain each link in one sentence.</w:t>
      </w:r>
    </w:p>
    <w:p>
      <w:pPr>
        <w:numPr>
          <w:ilvl w:val="0"/>
          <w:numId w:val="1001"/>
        </w:numPr>
        <w:pStyle w:val="Compact"/>
      </w:pPr>
      <w:r>
        <w:t xml:space="preserve">Practise the budget working and the three money gates until they come without notes.</w:t>
      </w:r>
    </w:p>
    <w:p>
      <w:pPr>
        <w:numPr>
          <w:ilvl w:val="0"/>
          <w:numId w:val="1001"/>
        </w:numPr>
        <w:pStyle w:val="Compact"/>
      </w:pPr>
      <w:r>
        <w:t xml:space="preserve">Run a timed group rehearsal with pointing and handovers. Record actual times before claiming the pitch fits fifteen minutes.</w:t>
      </w:r>
    </w:p>
    <w:p>
      <w:pPr>
        <w:numPr>
          <w:ilvl w:val="0"/>
          <w:numId w:val="1001"/>
        </w:numPr>
        <w:pStyle w:val="Compact"/>
      </w:pPr>
      <w:r>
        <w:t xml:space="preserve">If a section runs long, cut repeated explanation; keep sample sizes, the base-case assumption and the CAC definition.</w:t>
      </w:r>
    </w:p>
    <w:bookmarkEnd w:id="40"/>
    <w:bookmarkStart w:id="41" w:name="status-and-checks"/>
    <w:p>
      <w:pPr>
        <w:pStyle w:val="Heading2"/>
      </w:pPr>
      <w:r>
        <w:t xml:space="preserve">Status and checks</w:t>
      </w:r>
    </w:p>
    <w:p>
      <w:pPr>
        <w:pStyle w:val="FirstParagraph"/>
      </w:pPr>
      <w:r>
        <w:t xml:space="preserve">Matches proof v04 (D-163). The</w:t>
      </w:r>
      <w:r>
        <w:t xml:space="preserve"> </w:t>
      </w:r>
      <w:r>
        <w:rPr>
          <w:rStyle w:val="VerbatimChar"/>
        </w:rPr>
        <w:t xml:space="preserve">mba-presentation-style</w:t>
      </w:r>
      <w:r>
        <w:t xml:space="preserve"> </w:t>
      </w:r>
      <w:r>
        <w:t xml:space="preserve">pitch checker was not available in the cloud session, so no checker result is claimed; run it locally before rehearsal. Word counts reproduce the v01 convention. New sources against script v02: AFA Decaux (2026), European Commission (2025a) and Green SM Denmark ApS (no date a), all registered; the 10-trips scenario (DKK328.5M) comes from the model’s low case. No spoken recording, rehearsal or member allocation has been assessed.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10-sections-scale-copy-v46-2026-10-07.md" TargetMode="External" /><Relationship Type="http://schemas.openxmlformats.org/officeDocument/2006/relationships/hyperlink" Id="rId20" Target="presentation-script-v03-2026-10-07.md" TargetMode="External" /><Relationship Type="http://schemas.openxmlformats.org/officeDocument/2006/relationships/hyperlink" Id="rId23" Target="presentation-study-guide-v02-2026-10-07.md" TargetMode="External" /><Relationship Type="http://schemas.openxmlformats.org/officeDocument/2006/relationships/hyperlink" Id="rId22" Target="scale-plan-v01-2026-10-07-model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10-sections-scale-copy-v46-2026-10-07.md" TargetMode="External" /><Relationship Type="http://schemas.openxmlformats.org/officeDocument/2006/relationships/hyperlink" Id="rId20" Target="presentation-script-v03-2026-10-07.md" TargetMode="External" /><Relationship Type="http://schemas.openxmlformats.org/officeDocument/2006/relationships/hyperlink" Id="rId23" Target="presentation-study-guide-v02-2026-10-07.md" TargetMode="External" /><Relationship Type="http://schemas.openxmlformats.org/officeDocument/2006/relationships/hyperlink" Id="rId22" Target="scale-plan-v01-2026-10-07-model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2026-10-07T09:06:44Z</dcterms:created>
  <dcterms:modified xsi:type="dcterms:W3CDTF">2026-10-07T09:06:44Z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