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/>
    </w:p>
    <w:p>
      <w:r/>
    </w:p>
    <w:p>
      <w:r/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Componentes PBL Cap-1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  <w:t>Grupo: 3</w:t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rFonts w:ascii="Abadi" w:hAnsi="Abadi"/>
          <w:sz w:val="56"/>
          <w:szCs w:val="56"/>
        </w:rPr>
      </w:pPr>
      <w:r>
        <w:rPr>
          <w:rFonts w:ascii="Abadi" w:hAnsi="Abadi"/>
          <w:sz w:val="56"/>
          <w:szCs w:val="56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Leandro Eduardo dos Santos Koller – Rm:99353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Pietro Foschiera Sareto – Rm:551259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  <w:t>Thierry De Souza Guerra – Rm:98039</w:t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spacing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a) Pupulação do banco de dados:</w:t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ilustrar a execução do bloco anônimo, foram inseridas mais três registros na tabela de registros de SAC, a MC_SGV_SAC, inteirando quatro com o registro feito no arquivo </w:t>
      </w:r>
      <w:r>
        <w:rPr>
          <w:color w:val="7f7f7f"/>
          <w:sz w:val="24"/>
          <w:szCs w:val="24"/>
        </w:rPr>
        <w:t>cria.sql</w:t>
      </w:r>
      <w:r>
        <w:rPr>
          <w:sz w:val="24"/>
          <w:szCs w:val="24"/>
        </w:rPr>
        <w:t xml:space="preserve">. O script segue detalhado no arquivo </w:t>
      </w:r>
      <w:r>
        <w:rPr>
          <w:color w:val="7f7f7f"/>
          <w:sz w:val="24"/>
          <w:szCs w:val="24"/>
        </w:rPr>
        <w:t>popula.sql</w:t>
      </w:r>
      <w:r>
        <w:rPr>
          <w:sz w:val="24"/>
          <w:szCs w:val="24"/>
        </w:rPr>
        <w:t xml:space="preserve"> desta entrega.</w:t>
        <w:softHyphen/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b) Execução do bloco anônimo com cursor:</w:t>
      </w:r>
    </w:p>
    <w:p>
      <w:pPr>
        <w:ind w:firstLine="708"/>
        <w:rPr>
          <w:sz w:val="28"/>
          <w:szCs w:val="28"/>
        </w:rPr>
      </w:pPr>
      <w:r>
        <w:rPr>
          <w:sz w:val="24"/>
          <w:szCs w:val="24"/>
        </w:rPr>
        <w:t xml:space="preserve">O script que popula a tabela MC_SGV_OCORRENCIA_SAC com base nos registros em outras tabelas se encontra no arquivo </w:t>
      </w:r>
      <w:r>
        <w:rPr>
          <w:color w:val="7f7f7f"/>
          <w:sz w:val="24"/>
          <w:szCs w:val="24"/>
        </w:rPr>
        <w:t>executa.sql</w:t>
      </w:r>
      <w:r>
        <w:rPr>
          <w:sz w:val="24"/>
          <w:szCs w:val="24"/>
        </w:rPr>
        <w:t xml:space="preserve"> desta entrega.</w:t>
      </w:r>
      <w:r>
        <w:rPr>
          <w:sz w:val="28"/>
          <w:szCs w:val="28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>c) Evidências da execussão do bloco anônimo:</w:t>
      </w:r>
    </w:p>
    <w:p>
      <w:pPr>
        <w:ind w:firstLine="708"/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3508375" cy="564134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EgJ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UVAAC0IgAAlRUAALQi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BhAAAAAQAAAAAAAABhAAAAlRUAALQiAAAAAAAAYQAAAGE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56413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50610" cy="93345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EgJ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YlAAC+BQAA1iUAAL4F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QAAAAAAAABhAAAAAAAAAAAAAABhAAAA1iUAAL4FAAAAAAAAYQAAAGE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Observação: Estes testes foram executados na máquina local de um dos integrantes, portanto foi necessário criar um </w:t>
      </w:r>
      <w:r>
        <w:rPr>
          <w:i/>
          <w:iCs/>
          <w:sz w:val="24"/>
          <w:szCs w:val="24"/>
        </w:rPr>
        <w:t>mock</w:t>
      </w:r>
      <w:r>
        <w:rPr>
          <w:sz w:val="24"/>
          <w:szCs w:val="24"/>
        </w:rPr>
        <w:t xml:space="preserve"> da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“pf0110.fun_mc_gera_aliquota_media_icms_estado”, que no script, conforme ilustrado abaixo, é chamado através da referência do </w:t>
      </w:r>
      <w:r>
        <w:rPr>
          <w:i/>
          <w:iCs/>
          <w:sz w:val="24"/>
          <w:szCs w:val="24"/>
        </w:rPr>
        <w:t>user</w:t>
      </w:r>
      <w:r>
        <w:rPr>
          <w:sz w:val="24"/>
          <w:szCs w:val="24"/>
        </w:rPr>
        <w:t xml:space="preserve"> que fora utilizado. O script de criação desta </w:t>
      </w:r>
      <w:r>
        <w:rPr>
          <w:i/>
          <w:iCs/>
          <w:sz w:val="24"/>
          <w:szCs w:val="24"/>
        </w:rPr>
        <w:t>procedure</w:t>
      </w:r>
      <w:r>
        <w:rPr>
          <w:sz w:val="24"/>
          <w:szCs w:val="24"/>
        </w:rPr>
        <w:t xml:space="preserve"> se encontra no arquivo </w:t>
      </w:r>
      <w:r>
        <w:rPr>
          <w:color w:val="7f7f7f"/>
          <w:sz w:val="24"/>
          <w:szCs w:val="24"/>
        </w:rPr>
        <w:t>procedure.sql</w:t>
      </w:r>
      <w:r>
        <w:rPr>
          <w:sz w:val="24"/>
          <w:szCs w:val="24"/>
        </w:rPr>
        <w:t xml:space="preserve"> desta entrega.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6144260" cy="97980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EgJs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wlAAAHBgAAzCUAAAcG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QAAAAAAAABhAAAAAAAAAAAAAABhAAAAzCUAAAcGAAAAAAAAYQAAAGE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9798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r>
        <w:rPr>
          <w:sz w:val="28"/>
          <w:szCs w:val="28"/>
        </w:rPr>
        <w:t>d) Questões relativas à LGPD - 1.4:</w:t>
        <w:br w:type="textWrapping"/>
        <w:br w:type="textWrapping"/>
      </w:r>
      <w:r>
        <w:t>a) O papel da TI em relação à LGPD dentro da plataforma de e-commerce e no dia a dia de uso operacional dentro da organização é crucial. A TI é responsável por garantir a segurança dos dados pessoais</w:t>
      </w:r>
      <w:r>
        <w:rPr>
          <w:vertAlign w:val="superscript"/>
        </w:rPr>
        <w:t>1.B</w:t>
      </w:r>
      <w:r>
        <w:t xml:space="preserve"> dos clientes, implementar as medidas técnicas e organizacionais necessárias para proteger esses dados e assegurar que todas as atividades realizadas na plataforma estejam em conformidade com a legislação de proteção de dados.</w:t>
      </w:r>
    </w:p>
    <w:p>
      <w:r>
        <w:t>No dia a dia, a equipe de TI deve implementar controles de acesso adequados, criptografar</w:t>
      </w:r>
      <w:r>
        <w:rPr>
          <w:vertAlign w:val="superscript"/>
        </w:rPr>
        <w:t>1.A</w:t>
      </w:r>
      <w:r>
        <w:t xml:space="preserve">  os dados pessoais em trânsito e em repouso, realizar backups e manter sistemas atualizados com patches de segurança. Além disso, a TI deve monitorar continuamente a segurança da plataforma, detectar e responder a incidentes de segurança, e garantir a integridade e disponibilidade dos dados</w:t>
      </w:r>
      <w:r>
        <w:rPr>
          <w:vertAlign w:val="superscript"/>
        </w:rPr>
        <w:t>1.E</w:t>
      </w:r>
      <w:r>
        <w:t>.</w:t>
      </w:r>
    </w:p>
    <w:p>
      <w:r/>
    </w:p>
    <w:p>
      <w:r>
        <w:t>b) Recomendações de proteção aos dados:</w:t>
      </w:r>
    </w:p>
    <w:p>
      <w:pPr>
        <w:numPr>
          <w:ilvl w:val="0"/>
          <w:numId w:val="2"/>
        </w:numPr>
        <w:ind w:left="360" w:hanging="360"/>
      </w:pPr>
      <w:r>
        <w:t>Implementação de medidas de segurança: A Melhores Compras deve adotar medidas técnicas e organizacionais para garantir a segurança dos dados dos clientes. Isso inclui a utilização de firewalls, sistemas de detecção de intrusão, criptografia de dados, autenticação multifator e a realização de testes de segurança regulares.</w:t>
      </w:r>
    </w:p>
    <w:p>
      <w:pPr>
        <w:numPr>
          <w:ilvl w:val="0"/>
          <w:numId w:val="2"/>
        </w:numPr>
        <w:ind w:left="360" w:hanging="360"/>
      </w:pPr>
      <w:r>
        <w:t>Treinamento e conscientização: É essencial treinar todos os funcionários</w:t>
      </w:r>
      <w:r>
        <w:rPr>
          <w:vertAlign w:val="superscript"/>
        </w:rPr>
        <w:t>1.F</w:t>
      </w:r>
      <w:r>
        <w:t>da Melhores Compras sobre as práticas adequadas de proteção de dados e conscientizá-los sobre a importância da LGPD. Os funcionários devem ser educados sobre os direitos dos titulares dos dados</w:t>
      </w:r>
      <w:r>
        <w:rPr>
          <w:vertAlign w:val="superscript"/>
        </w:rPr>
        <w:t>1.C</w:t>
      </w:r>
      <w:r>
        <w:t>, os procedimentos internos de proteção de dados e as consequências de violações de privacidade</w:t>
      </w:r>
      <w:r>
        <w:rPr>
          <w:vertAlign w:val="superscript"/>
        </w:rPr>
        <w:t>1.D</w:t>
      </w:r>
      <w:r>
        <w:t>.</w:t>
      </w:r>
    </w:p>
    <w:p>
      <w:r/>
    </w:p>
    <w:p>
      <w:r>
        <w:t>c) Exemplo de 5 dados anonimizados para os clientes:</w:t>
      </w:r>
    </w:p>
    <w:p>
      <w:pPr>
        <w:numPr>
          <w:ilvl w:val="0"/>
          <w:numId w:val="3"/>
        </w:numPr>
        <w:ind w:left="360" w:hanging="360"/>
      </w:pPr>
      <w:r>
        <w:t>ID do cliente: Em vez de usar o nome completo do cliente, um ID único pode ser atribuído para identificá-lo internamente na empresa. Dessa forma, o dado pessoal é anonimizado</w:t>
      </w:r>
      <w:r>
        <w:rPr>
          <w:vertAlign w:val="superscript"/>
        </w:rPr>
        <w:t>1.A</w:t>
      </w:r>
      <w:r>
        <w:t xml:space="preserve"> e pode ser usado para análises estatísticas e relatórios sem expor a identidade do cliente.</w:t>
      </w:r>
    </w:p>
    <w:p>
      <w:pPr>
        <w:numPr>
          <w:ilvl w:val="0"/>
          <w:numId w:val="3"/>
        </w:numPr>
        <w:ind w:left="360" w:hanging="360"/>
      </w:pPr>
      <w:r>
        <w:t>Histórico de compras: O histórico de compras do cliente pode ser anonimizado removendo-se informações pessoais, como nome e endereço. Os dados restantes podem ser usados para análise de tendências de consumo e personalização de ofertas.</w:t>
      </w:r>
    </w:p>
    <w:p>
      <w:pPr>
        <w:numPr>
          <w:ilvl w:val="0"/>
          <w:numId w:val="3"/>
        </w:numPr>
        <w:ind w:left="360" w:hanging="360"/>
      </w:pPr>
      <w:r>
        <w:t>Preferências de produto: As preferências de produto do cliente podem ser anonimizadas e utilizadas para oferecer recomendações personalizadas, sem a necessidade de expor dados pessoais sensíveis.</w:t>
      </w:r>
    </w:p>
    <w:p>
      <w:pPr>
        <w:numPr>
          <w:ilvl w:val="0"/>
          <w:numId w:val="3"/>
        </w:numPr>
        <w:ind w:left="360" w:hanging="360"/>
      </w:pPr>
      <w:r>
        <w:t>Dados demográficos: Dados demográficos como idade, gênero e localização podem ser anonimizados e agregados para realizar análises de mercado e segmentação de clientes, sem identificar indivíduos específicos.</w:t>
      </w:r>
    </w:p>
    <w:p>
      <w:pPr>
        <w:numPr>
          <w:ilvl w:val="0"/>
          <w:numId w:val="3"/>
        </w:numPr>
        <w:ind w:left="360" w:hanging="360"/>
      </w:pPr>
      <w:r>
        <w:t>Avaliações e feedback: As avaliações e feedback dos clientes podem ser anonimizados , removendo informações que possam revelar a identidade do cliente. Esses dados podem ser utilizados para melhorar a qualidade dos produtos e serviços oferecidos pela Melhores Compras.</w:t>
      </w:r>
    </w:p>
    <w:p>
      <w:pPr>
        <w:ind w:firstLine="708"/>
      </w:pPr>
      <w:r>
        <w:t>Dentro da empresa Melhores Compras, esses dados anonimizados podem ser usados para análise de mercado, segmentação de clientes, personalização de ofertas e melhoria dos produtos e serviços. Fora da empresa, os dados anonimizados podem ser utilizados para pesquisas de mercado e estudos estatísticos, desde que não haja possibilidade de reidentificação dos indivíduos.</w:t>
      </w:r>
    </w:p>
    <w:p>
      <w:pPr>
        <w:rPr>
          <w:color w:val="000000"/>
          <w:lang w:val="en-us" w:eastAsia="zh-cn"/>
        </w:rPr>
      </w:pPr>
      <w:r>
        <w:t>Referencias:</w:t>
        <w:br w:type="textWrapping"/>
        <w:tab/>
      </w:r>
      <w:r>
        <w:rPr>
          <w:color w:val="000000"/>
          <w:lang w:val="en-us" w:eastAsia="zh-cn"/>
        </w:rPr>
        <w:t>1 - Lei nº 13.709/2018 - Lei Geral de Proteção de Dados Pessoais;</w:t>
      </w:r>
      <w:r>
        <w:rPr>
          <w:color w:val="000000"/>
          <w:lang w:val="en-us" w:eastAsia="zh-cn"/>
        </w:rPr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A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inciso terceiro.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B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inciso primeiro.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C - Artigo 5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inciso quinto.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D - Artigo 8</w:t>
      </w:r>
      <w:r>
        <w:rPr>
          <w:color w:val="000000"/>
          <w:vertAlign w:val="superscript"/>
          <w:lang w:val="en-us" w:eastAsia="zh-cn"/>
        </w:rPr>
        <w:t>o</w:t>
      </w:r>
      <w:r>
        <w:rPr>
          <w:color w:val="000000"/>
          <w:lang w:val="en-us" w:eastAsia="zh-cn"/>
        </w:rPr>
        <w:t>, parágrafo segundo.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E - Artigo 18, inciso segundo.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  <w:t>F - Artigo 41, parágrafo segundo, inciso terceiro.</w:t>
      </w:r>
    </w:p>
    <w:p>
      <w:pPr>
        <w:ind w:left="708" w:firstLine="708"/>
        <w:rPr>
          <w:color w:val="000000"/>
          <w:lang w:val="en-us" w:eastAsia="zh-cn"/>
        </w:rPr>
      </w:pPr>
      <w:r>
        <w:rPr>
          <w:color w:val="000000"/>
          <w:lang w:val="en-us" w:eastAsia="zh-c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1"/>
      <w:type w:val="nextPage"/>
      <w:pgSz w:h="16838" w:w="11906"/>
      <w:pgMar w:left="1080" w:top="1440" w:right="1080" w:bottom="1440" w:header="708" w:footer="0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Abadi">
    <w:charset w:val="00"/>
    <w:family w:val="swiss"/>
    <w:pitch w:val="default"/>
  </w:font>
  <w:font w:name="Calibri Light">
    <w:charset w:val="00"/>
    <w:family w:val="swiss"/>
    <w:pitch w:val="default"/>
  </w:font>
  <w:font w:name="Cantarell">
    <w:charset w:val="00"/>
    <w:family w:val="roman"/>
    <w:pitch w:val="default"/>
  </w:font>
  <w:font w:name="Wingdings">
    <w:charset w:val="00"/>
    <w:family w:val="auto"/>
    <w:pitch w:val="default"/>
  </w:font>
  <w:font w:name="Wingbats">
    <w:charset w:val="02"/>
    <w:family w:val="auto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</w:pPr>
    <w:r>
      <w:rPr>
        <w:noProof/>
      </w:rPr>
      <w:drawing>
        <wp:inline distT="0" distB="0" distL="0" distR="0">
          <wp:extent cx="3131185" cy="845185"/>
          <wp:effectExtent l="0" t="0" r="0" b="0"/>
          <wp:docPr id="102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Imagem 1"/>
                  <pic:cNvPicPr>
                    <a:picLocks noChangeAspect="1"/>
                    <a:extLst>
                      <a:ext uri="smNativeData">
                        <sm:smNativeData xmlns:sm="smNativeData" val="SMDATA_16_EgJs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F6AAAAAAAAAAAAAAAAAAAAAAAAAAAAAAAAAAAAAAAAAAAAAAQxMAADMFAAAAAAAAAAAAAAAAAAAoAAAACAAAAAEAAAABAAAA"/>
                      </a:ext>
                    </a:extLst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31185" cy="8451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84800018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eader" Target="header1.xml"/></Relationships>
</file>

<file path=word/_rels/header1.xml.rels><?xml version="1.0" encoding="UTF-8" standalone="yes" 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de Souza Guerra</dc:creator>
  <cp:keywords/>
  <dc:description/>
  <cp:lastModifiedBy/>
  <cp:revision>6</cp:revision>
  <dcterms:created xsi:type="dcterms:W3CDTF">2023-05-21T14:54:00Z</dcterms:created>
  <dcterms:modified xsi:type="dcterms:W3CDTF">2023-05-23T00:00:18Z</dcterms:modified>
</cp:coreProperties>
</file>