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Synthèse — Réunion technique de convergence</w:t>
      </w:r>
    </w:p>
    <w:p>
      <w:r>
        <w:rPr>
          <w:b/>
        </w:rPr>
        <w:t>Objet</w:t>
      </w:r>
      <w:r>
        <w:t xml:space="preserve"> : fusionner </w:t>
      </w:r>
      <w:r>
        <w:rPr>
          <w:rFonts w:ascii="Consolas" w:hAnsi="Consolas"/>
          <w:color w:val="0B3D91"/>
          <w:sz w:val="18"/>
        </w:rPr>
        <w:t>rag-agent-pedagogie</w:t>
      </w:r>
      <w:r>
        <w:t xml:space="preserve"> (</w:t>
      </w:r>
      <w:r>
        <w:rPr>
          <w:b/>
        </w:rPr>
        <w:t>ATS</w:t>
      </w:r>
      <w:r>
        <w:t xml:space="preserve">) et </w:t>
      </w:r>
      <w:r>
        <w:rPr>
          <w:rFonts w:ascii="Consolas" w:hAnsi="Consolas"/>
          <w:color w:val="0B3D91"/>
          <w:sz w:val="18"/>
        </w:rPr>
        <w:t>nuru-binta</w:t>
      </w:r>
      <w:r>
        <w:t xml:space="preserve"> (</w:t>
      </w:r>
      <w:r>
        <w:rPr>
          <w:b/>
        </w:rPr>
        <w:t>NURU</w:t>
      </w:r>
      <w:r>
        <w:t xml:space="preserve">) en une base unique. </w:t>
      </w:r>
      <w:r>
        <w:rPr>
          <w:b/>
        </w:rPr>
        <w:t>Date d'analyse</w:t>
      </w:r>
      <w:r>
        <w:t xml:space="preserve"> : 2026-07-31 · </w:t>
      </w:r>
      <w:r>
        <w:rPr>
          <w:b/>
        </w:rPr>
        <w:t>Document détaillé</w:t>
      </w:r>
      <w:r>
        <w:t xml:space="preserve"> : </w:t>
      </w:r>
      <w:r>
        <w:rPr>
          <w:color w:val="1A5FB4"/>
          <w:u w:val="single"/>
        </w:rPr>
        <w:t>COMPARATIF_ARCHITECTURES.md</w:t>
      </w:r>
    </w:p>
    <w:p>
      <w:pPr>
        <w:pBdr>
          <w:bottom w:val="single" w:sz="6" w:space="1" w:color="CCCCCC"/>
        </w:pBdr>
        <w:spacing w:after="160"/>
      </w:pPr>
    </w:p>
    <w:p>
      <w:pPr>
        <w:pStyle w:val="Heading1"/>
      </w:pPr>
      <w:r>
        <w:t>1. En une phrase</w:t>
      </w:r>
    </w:p>
    <w:p>
      <w:r>
        <w:t xml:space="preserve">Les deux équipes ont convergé sur la </w:t>
      </w:r>
      <w:r>
        <w:rPr>
          <w:b/>
        </w:rPr>
        <w:t>même pile</w:t>
      </w:r>
      <w:r>
        <w:t xml:space="preserve"> (Python 3.11 · FastAPI · LangGraph · Qdrant · BGE-M3 · PostgreSQL · SymPy · KaTeX) ; </w:t>
      </w:r>
      <w:r>
        <w:rPr>
          <w:b/>
        </w:rPr>
        <w:t>ATS a construit l'infrastructure, NURU a construit le produit et rassemblé les données.</w:t>
      </w:r>
      <w:r>
        <w:t xml:space="preserve"> La fusion consiste donc à </w:t>
      </w:r>
      <w:r>
        <w:rPr>
          <w:b/>
        </w:rPr>
        <w:t>greffer le métier et le corpus de NURU sur la structure d'ATS</w:t>
      </w:r>
      <w:r>
        <w:t>, pas à choisir un gagnant.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2. Ce que chaque dépôt apporte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ATS apporte</w:t>
            </w:r>
          </w:p>
        </w:tc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NURU apporte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Architecture hexagonale, cœur testable hors-ligne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106 PDF du programme réel</w:t>
            </w:r>
            <w:r>
              <w:rPr>
                <w:sz w:val="18"/>
              </w:rPr>
              <w:t xml:space="preserve"> (cours, TD, annales, bacs blancs)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Graphe LangGraph </w:t>
            </w:r>
            <w:r>
              <w:rPr>
                <w:b/>
                <w:sz w:val="18"/>
              </w:rPr>
              <w:t>async</w:t>
            </w:r>
            <w:r>
              <w:rPr>
                <w:sz w:val="18"/>
              </w:rPr>
              <w:t xml:space="preserve"> + streaming SSE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Priorisation </w:t>
            </w:r>
            <w:r>
              <w:rPr>
                <w:b/>
                <w:sz w:val="18"/>
              </w:rPr>
              <w:t>cours vs TD</w:t>
            </w:r>
            <w:r>
              <w:rPr>
                <w:sz w:val="18"/>
              </w:rPr>
              <w:t xml:space="preserve"> dans la recherche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Authentification JWT + rôles + RLS</w:t>
            </w:r>
            <w:r>
              <w:rPr>
                <w:sz w:val="18"/>
              </w:rPr>
              <w:t xml:space="preserve"> appliquée partout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Chaîne de parsing PDF mathématique (PyMuPDF + Nougat + métadonnées)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Migrations </w:t>
            </w:r>
            <w:r>
              <w:rPr>
                <w:b/>
                <w:sz w:val="18"/>
              </w:rPr>
              <w:t>Alembic</w:t>
            </w:r>
            <w:r>
              <w:rPr>
                <w:sz w:val="18"/>
              </w:rPr>
              <w:t xml:space="preserve"> + multi-tenant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Modèle </w:t>
            </w:r>
            <w:r>
              <w:rPr>
                <w:b/>
                <w:sz w:val="18"/>
              </w:rPr>
              <w:t>mastery learning</w:t>
            </w:r>
            <w:r>
              <w:rPr>
                <w:sz w:val="18"/>
              </w:rPr>
              <w:t xml:space="preserve"> (maîtrise, badges, XP, recommandations)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Indices socratiques 0→4, frustration, garde-fous anti-injection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Quiz + évaluation + correction</w:t>
            </w:r>
            <w:r>
              <w:rPr>
                <w:sz w:val="18"/>
              </w:rPr>
              <w:t xml:space="preserve"> (absents d'ATS)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Chaîne LLM avec repli (Mistral → Ollama → Mock)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Rôles </w:t>
            </w:r>
            <w:r>
              <w:rPr>
                <w:b/>
                <w:sz w:val="18"/>
              </w:rPr>
              <w:t>enseignant</w:t>
            </w:r>
            <w:r>
              <w:rPr>
                <w:sz w:val="18"/>
              </w:rPr>
              <w:t xml:space="preserve"> et </w:t>
            </w:r>
            <w:r>
              <w:rPr>
                <w:b/>
                <w:sz w:val="18"/>
              </w:rPr>
              <w:t>parent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Ingestion asynchrone ARQ + repli gracieux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21 écrans</w:t>
            </w:r>
            <w:r>
              <w:rPr>
                <w:sz w:val="18"/>
              </w:rPr>
              <w:t xml:space="preserve"> frontend, TypeScript + Tailwind 4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Observabilité JSON + trace par nœud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Sandbox d'exécution Python sécurisée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145 tests</w:t>
            </w:r>
            <w:r>
              <w:rPr>
                <w:sz w:val="18"/>
              </w:rPr>
              <w:t xml:space="preserve"> sur 3 couches, 9 ADR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84 tests</w:t>
            </w:r>
            <w:r>
              <w:rPr>
                <w:sz w:val="18"/>
              </w:rPr>
              <w:t xml:space="preserve"> unitaires (parsing, métadonnées, quiz)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3. Décisions proposées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Brique</w:t>
            </w:r>
          </w:p>
        </w:tc>
        <w:tc>
          <w:tcPr>
            <w:tcW w:type="dxa" w:w="2436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Base retenue</w:t>
            </w:r>
          </w:p>
        </w:tc>
        <w:tc>
          <w:tcPr>
            <w:tcW w:type="dxa" w:w="2436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Justification en une ligne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Structure du dépôt &amp; packaging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pyproject</w:t>
            </w:r>
            <w:r>
              <w:rPr>
                <w:sz w:val="18"/>
              </w:rPr>
              <w:t xml:space="preserve"> + layout </w:t>
            </w:r>
            <w:r>
              <w:rPr>
                <w:rFonts w:ascii="Consolas" w:hAnsi="Consolas"/>
                <w:color w:val="0B3D91"/>
                <w:sz w:val="18"/>
              </w:rPr>
              <w:t>src/</w:t>
            </w:r>
            <w:r>
              <w:rPr>
                <w:sz w:val="18"/>
              </w:rPr>
              <w:t xml:space="preserve"> + extras ; NURU exige un </w:t>
            </w:r>
            <w:r>
              <w:rPr>
                <w:rFonts w:ascii="Consolas" w:hAnsi="Consolas"/>
                <w:color w:val="0B3D91"/>
                <w:sz w:val="18"/>
              </w:rPr>
              <w:t>sys.path.insert</w:t>
            </w:r>
            <w:r>
              <w:rPr>
                <w:sz w:val="18"/>
              </w:rPr>
              <w:t xml:space="preserve"> et un cwd précis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D2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Cœur agent (graphe)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Async + streaming SSE + ports injectables par requête ; NURU est synchrone et bloque la boucle FastAPI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D3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Posture socratique (indices 0→4)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Escalade sur frustration/répétitions, 48 tests ; NURU escalade sur un simple compteur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D4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Fusion de scores RAG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 (RRF)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Combine des </w:t>
            </w:r>
            <w:r>
              <w:rPr>
                <w:b/>
                <w:sz w:val="18"/>
              </w:rPr>
              <w:t>rangs</w:t>
            </w:r>
            <w:r>
              <w:rPr>
                <w:sz w:val="18"/>
              </w:rPr>
              <w:t xml:space="preserve">, pas des scores d'échelles hétérogènes ; NURU refait un </w:t>
            </w:r>
            <w:r>
              <w:rPr>
                <w:rFonts w:ascii="Consolas" w:hAnsi="Consolas"/>
                <w:color w:val="0B3D91"/>
                <w:sz w:val="18"/>
              </w:rPr>
              <w:t>fit</w:t>
            </w:r>
            <w:r>
              <w:rPr>
                <w:sz w:val="18"/>
              </w:rPr>
              <w:t xml:space="preserve"> TF-IDF sur ~40 documents à chaque requête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D5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Filtrage curriculaire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6 champs + alias de série + clés normalisées (un filtre exact coupait 92 % du corpus) ; NURU filtre sur 2 champs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D6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Priorisation cours/complément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NURU → à importer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Sur un corpus majoritairement TD, la recherche sémantique pure remonte des exercices quand l'élève demande un cours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D7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Parsing PDF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NURU → à importer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pypdf</w:t>
            </w:r>
            <w:r>
              <w:rPr>
                <w:sz w:val="18"/>
              </w:rPr>
              <w:t xml:space="preserve"> (ATS) détruit les formules ; PyMuPDF + Nougat sont faits pour ça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D8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Chunking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Exercice </w:t>
            </w:r>
            <w:r>
              <w:rPr>
                <w:b/>
                <w:sz w:val="18"/>
              </w:rPr>
              <w:t>indivisible</w:t>
            </w:r>
            <w:r>
              <w:rPr>
                <w:sz w:val="18"/>
              </w:rPr>
              <w:t xml:space="preserve"> ; le découpage par taille de NURU sépare un énoncé de son corrigé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D9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Persistance (infrastructure)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Alembic vs </w:t>
            </w:r>
            <w:r>
              <w:rPr>
                <w:rFonts w:ascii="Consolas" w:hAnsi="Consolas"/>
                <w:color w:val="0B3D91"/>
                <w:sz w:val="18"/>
              </w:rPr>
              <w:t>create_all()</w:t>
            </w:r>
            <w:r>
              <w:rPr>
                <w:sz w:val="18"/>
              </w:rPr>
              <w:t xml:space="preserve"> : ce dernier ne fait </w:t>
            </w:r>
            <w:r>
              <w:rPr>
                <w:b/>
                <w:sz w:val="18"/>
              </w:rPr>
              <w:t>jamais</w:t>
            </w:r>
            <w:r>
              <w:rPr>
                <w:sz w:val="18"/>
              </w:rPr>
              <w:t xml:space="preserve"> évoluer une table existante → perte de données garantie en production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Modèle de données pédagogique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NURU → à porter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ConceptMastery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91"/>
                <w:sz w:val="18"/>
              </w:rPr>
              <w:t>ExerciseResult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91"/>
                <w:sz w:val="18"/>
              </w:rPr>
              <w:t>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91"/>
                <w:sz w:val="18"/>
              </w:rPr>
              <w:t>Recommendation</w:t>
            </w:r>
            <w:r>
              <w:rPr>
                <w:sz w:val="18"/>
              </w:rPr>
              <w:t xml:space="preserve"> : ATS n'a rien d'équivalent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D11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API &amp; sécurité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  <w:r>
              <w:rPr>
                <w:sz w:val="18"/>
              </w:rPr>
              <w:t>, non négociable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NURU expose </w:t>
            </w:r>
            <w:r>
              <w:rPr>
                <w:b/>
                <w:sz w:val="18"/>
              </w:rPr>
              <w:t>31 routes sans aucun contrôle d'accès</w:t>
            </w:r>
            <w:r>
              <w:rPr>
                <w:sz w:val="18"/>
              </w:rPr>
              <w:t xml:space="preserve"> (voir §4)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D12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Périmètre fonctionnel de l'API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NURU → à porter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Quiz, évaluation, tableau de bord, suivis enseignant/parent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D13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Rôles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4 rôles de NURU</w:t>
            </w:r>
            <w:r>
              <w:rPr>
                <w:sz w:val="18"/>
              </w:rPr>
              <w:t>, portés dans le JWT d'ATS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Périmètre produit plus large, mécanisme d'ATS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D14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Chaîne LLM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  <w:r>
              <w:rPr>
                <w:sz w:val="18"/>
              </w:rPr>
              <w:t>, + Gemini ajouté comme fournisseur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Sans repli, NURU renvoie à l'élève un mode d'emploi de clé API au lieu d'une réponse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D15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Vérification anti-hallucination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NURU partiellement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Garder les 2 contrôles </w:t>
            </w:r>
            <w:r>
              <w:rPr>
                <w:b/>
                <w:sz w:val="18"/>
              </w:rPr>
              <w:t>déterministes</w:t>
            </w:r>
            <w:r>
              <w:rPr>
                <w:sz w:val="18"/>
              </w:rPr>
              <w:t xml:space="preserve"> ; écarter les heuristiques « présence de </w:t>
            </w:r>
            <w:r>
              <w:rPr>
                <w:i/>
                <w:sz w:val="18"/>
              </w:rPr>
              <w:t>donc</w:t>
            </w:r>
            <w:r>
              <w:rPr>
                <w:sz w:val="18"/>
              </w:rPr>
              <w:t xml:space="preserve"> »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D16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Frontend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Next.js/TS de NURU</w:t>
            </w:r>
            <w:r>
              <w:rPr>
                <w:sz w:val="18"/>
              </w:rPr>
              <w:t>, couche données réécrite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21 écrans conçus vs 7 ; typage indispensable sur 30+ endpoints. ⚠️ voir Q1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D17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Tests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Les deux suites conservées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58 tests unitaires de NURU réutilisables tels quels + 45 tests d'API d'ATS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D18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Configuration &amp; déploiement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pydantic-settings</w:t>
            </w:r>
            <w:r>
              <w:rPr>
                <w:sz w:val="18"/>
              </w:rPr>
              <w:t xml:space="preserve"> typée, compose dev </w:t>
            </w:r>
            <w:r>
              <w:rPr>
                <w:b/>
                <w:sz w:val="18"/>
              </w:rPr>
              <w:t>et</w:t>
            </w:r>
            <w:r>
              <w:rPr>
                <w:sz w:val="18"/>
              </w:rPr>
              <w:t xml:space="preserve"> prod, nginx, migrations, blueprint Render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D19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Corpus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NURU</w:t>
            </w:r>
            <w:r>
              <w:rPr>
                <w:sz w:val="18"/>
              </w:rPr>
              <w:t>, sorti de Git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Actif irremplaçable, mais 106 PDF n'ont pas leur place dans l'historique Git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D20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Épinglage des dépendances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Réflexe NURU appliqué à 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NURU documente ses épinglages critiques ; ATS n'a que des bornes </w:t>
            </w:r>
            <w:r>
              <w:rPr>
                <w:rFonts w:ascii="Consolas" w:hAnsi="Consolas"/>
                <w:color w:val="0B3D91"/>
                <w:sz w:val="18"/>
              </w:rPr>
              <w:t>&gt;=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4. Point bloquant à signaler explicitement</w:t>
      </w:r>
    </w:p>
    <w:p>
      <w:pPr>
        <w:spacing w:before="80"/>
        <w:ind w:left="283"/>
        <w:shd w:val="clear" w:fill="FFF7E6"/>
        <w:pBdr>
          <w:left w:val="single" w:sz="18" w:space="8" w:color="D9822B"/>
        </w:pBdr>
      </w:pPr>
      <w:r>
        <w:rPr>
          <w:b/>
        </w:rPr>
        <w:t>Le backend NURU n'applique aucun contrôle d'accès.</w:t>
      </w:r>
      <w:r>
        <w:t xml:space="preserve"> Le code d'authentification existe (</w:t>
      </w:r>
      <w:r>
        <w:rPr>
          <w:rFonts w:ascii="Consolas" w:hAnsi="Consolas"/>
          <w:color w:val="0B3D91"/>
          <w:sz w:val="18"/>
        </w:rPr>
        <w:t>auth_service.py</w:t>
      </w:r>
      <w:r>
        <w:t xml:space="preserve">, PBKDF2 260 k itérations, correctement écrit) mais </w:t>
      </w:r>
      <w:r>
        <w:rPr>
          <w:b/>
        </w:rPr>
        <w:t>n'est branché sur aucune route</w:t>
      </w:r>
      <w:r>
        <w:t xml:space="preserve"> : </w:t>
      </w:r>
      <w:r>
        <w:rPr>
          <w:rFonts w:ascii="Consolas" w:hAnsi="Consolas"/>
          <w:color w:val="0B3D91"/>
          <w:sz w:val="18"/>
        </w:rPr>
        <w:t>grep</w:t>
      </w:r>
      <w:r>
        <w:t xml:space="preserve"> sur </w:t>
      </w:r>
      <w:r>
        <w:rPr>
          <w:rFonts w:ascii="Consolas" w:hAnsi="Consolas"/>
          <w:color w:val="0B3D91"/>
          <w:sz w:val="18"/>
        </w:rPr>
        <w:t>backend/app/api/routes/</w:t>
      </w:r>
      <w:r>
        <w:t xml:space="preserve"> ne trouve aucun </w:t>
      </w:r>
      <w:r>
        <w:rPr>
          <w:rFonts w:ascii="Consolas" w:hAnsi="Consolas"/>
          <w:color w:val="0B3D91"/>
          <w:sz w:val="18"/>
        </w:rPr>
        <w:t>Depends()</w:t>
      </w:r>
      <w:r>
        <w:t xml:space="preserve"> d'authentification, aucun jeton, aucun en-tête </w:t>
      </w:r>
      <w:r>
        <w:rPr>
          <w:rFonts w:ascii="Consolas" w:hAnsi="Consolas"/>
          <w:color w:val="0B3D91"/>
          <w:sz w:val="18"/>
        </w:rPr>
        <w:t>Authorization</w:t>
      </w:r>
      <w:r>
        <w:t>.</w:t>
      </w:r>
    </w:p>
    <w:p>
      <w:r>
        <w:t>Conséquences vérifiées, sur des données de mineurs :</w:t>
      </w:r>
    </w:p>
    <w:p>
      <w:pPr>
        <w:pStyle w:val="ListBullet"/>
        <w:spacing w:after="40"/>
      </w:pPr>
      <w:r>
        <w:rPr>
          <w:rFonts w:ascii="Consolas" w:hAnsi="Consolas"/>
          <w:color w:val="0B3D91"/>
          <w:sz w:val="18"/>
        </w:rPr>
        <w:t>GET /admin/users</w:t>
      </w:r>
      <w:r>
        <w:t xml:space="preserve"> → annuaire complet des comptes (emails, rôles) sans authentification ;</w:t>
      </w:r>
    </w:p>
    <w:p>
      <w:pPr>
        <w:pStyle w:val="ListBullet"/>
        <w:spacing w:after="40"/>
      </w:pPr>
      <w:r>
        <w:rPr>
          <w:rFonts w:ascii="Consolas" w:hAnsi="Consolas"/>
          <w:color w:val="0B3D91"/>
          <w:sz w:val="18"/>
        </w:rPr>
        <w:t>POST /auth/link-student</w:t>
      </w:r>
      <w:r>
        <w:t xml:space="preserve"> prend </w:t>
      </w:r>
      <w:r>
        <w:rPr>
          <w:rFonts w:ascii="Consolas" w:hAnsi="Consolas"/>
          <w:color w:val="0B3D91"/>
          <w:sz w:val="18"/>
        </w:rPr>
        <w:t>user_id</w:t>
      </w:r>
      <w:r>
        <w:t xml:space="preserve"> </w:t>
      </w:r>
      <w:r>
        <w:rPr>
          <w:b/>
        </w:rPr>
        <w:t>dans le corps</w:t>
      </w:r>
      <w:r>
        <w:t xml:space="preserve"> → n'importe qui peut</w:t>
      </w:r>
    </w:p>
    <w:p>
      <w:r>
        <w:t>se déclarer parent ou enseignant de n'importe quel élève ;</w:t>
      </w:r>
    </w:p>
    <w:p>
      <w:pPr>
        <w:pStyle w:val="ListBullet"/>
        <w:spacing w:after="40"/>
      </w:pPr>
      <w:r>
        <w:rPr>
          <w:rFonts w:ascii="Consolas" w:hAnsi="Consolas"/>
          <w:color w:val="0B3D91"/>
          <w:sz w:val="18"/>
        </w:rPr>
        <w:t>GET /parent/students/{id}</w:t>
      </w:r>
      <w:r>
        <w:t xml:space="preserve"> et </w:t>
      </w:r>
      <w:r>
        <w:rPr>
          <w:rFonts w:ascii="Consolas" w:hAnsi="Consolas"/>
          <w:color w:val="0B3D91"/>
          <w:sz w:val="18"/>
        </w:rPr>
        <w:t>GET /teacher/students/{id}</w:t>
      </w:r>
      <w:r>
        <w:t xml:space="preserve"> → progression</w:t>
      </w:r>
    </w:p>
    <w:p>
      <w:r>
        <w:t>nominative de tout élève dont l'identifiant est deviné.</w:t>
      </w:r>
    </w:p>
    <w:p>
      <w:r>
        <w:rPr>
          <w:b/>
        </w:rPr>
        <w:t>Côté frontend NURU</w:t>
      </w:r>
      <w:r>
        <w:t xml:space="preserve">, </w:t>
      </w:r>
      <w:r>
        <w:rPr>
          <w:rFonts w:ascii="Consolas" w:hAnsi="Consolas"/>
          <w:color w:val="0B3D91"/>
          <w:sz w:val="18"/>
        </w:rPr>
        <w:t>AuthContext.tsx</w:t>
      </w:r>
      <w:r>
        <w:t xml:space="preserve"> aggrave le problème : l'état d'authentification est un simple objet </w:t>
      </w:r>
      <w:r>
        <w:rPr>
          <w:rFonts w:ascii="Consolas" w:hAnsi="Consolas"/>
          <w:color w:val="0B3D91"/>
          <w:sz w:val="18"/>
        </w:rPr>
        <w:t>localStorage</w:t>
      </w:r>
      <w:r>
        <w:t xml:space="preserve"> sans jeton, et le bloc de repli en cas de backend injoignable déduit le rôle de la chaîne de l'email —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if (email.includes('admin')) fallbackRole = 'admin';</w:t>
      </w:r>
    </w:p>
    <w:p>
      <w:pPr>
        <w:spacing w:after="80"/>
      </w:pPr>
    </w:p>
    <w:p>
      <w:r>
        <w:t xml:space="preserve">Couper le réseau et se connecter avec </w:t>
      </w:r>
      <w:r>
        <w:rPr>
          <w:rFonts w:ascii="Consolas" w:hAnsi="Consolas"/>
          <w:color w:val="0B3D91"/>
          <w:sz w:val="18"/>
        </w:rPr>
        <w:t>admin@quelquechose.fr</w:t>
      </w:r>
      <w:r>
        <w:t xml:space="preserve"> ouvre l'interface d'administration.</w:t>
      </w:r>
    </w:p>
    <w:p>
      <w:r>
        <w:rPr>
          <w:b/>
        </w:rPr>
        <w:t>Ce n'est pas un argument dans le débat d'architecture</w:t>
      </w:r>
      <w:r>
        <w:t xml:space="preserve"> : c'est un défaut à corriger quelle que soit la base retenue. Il explique aussi pourquoi il n'a pas été détecté : la suite NURU n'a </w:t>
      </w:r>
      <w:r>
        <w:rPr>
          <w:b/>
        </w:rPr>
        <w:t>aucun test de route HTTP</w:t>
      </w:r>
      <w:r>
        <w:t>. La règle « un test négatif 401/403 par route » (phase P4) est le garde-fou à instaurer.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5. Points à trancher en réunion</w:t>
      </w:r>
    </w:p>
    <w:p>
      <w:pPr>
        <w:pStyle w:val="Heading2"/>
      </w:pPr>
      <w:r>
        <w:t xml:space="preserve">Q1 — Frontend cible : Next.js/TypeScript ou Vue 3 ? ⚠️ </w:t>
      </w:r>
      <w:r>
        <w:rPr>
          <w:i/>
        </w:rPr>
        <w:t>décision structurante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Next.js/TS (recommandé)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Vue 3 conservé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Écrans déjà conçus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21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Typage du contrat d'API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oui (généré depuis OpenAPI)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non (JS pur)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Travail restant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recâbler 11 écrans + porter JWT/garde/SSE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concevoir et coder ~14 écrans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Risque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compétences React dans l'équipe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dette de typage sur 30+ endpoints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Estimation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10–15 j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12–18 j</w:t>
            </w:r>
          </w:p>
        </w:tc>
      </w:tr>
    </w:tbl>
    <w:p>
      <w:pPr>
        <w:spacing w:after="80"/>
      </w:pPr>
    </w:p>
    <w:p>
      <w:r>
        <w:rPr>
          <w:b/>
        </w:rPr>
        <w:t>Recommandation</w:t>
      </w:r>
      <w:r>
        <w:t xml:space="preserve"> : Next.js/TS. Le poste de travail le plus lourd est l'interface, et NURU l'a déjà fait à moitié ; le typage est le mécanisme de coordination le moins coûteux entre deux développeurs qui viennent de diverger. </w:t>
      </w:r>
      <w:r>
        <w:rPr>
          <w:b/>
        </w:rPr>
        <w:t>Condition</w:t>
      </w:r>
      <w:r>
        <w:t xml:space="preserve"> : porter impérativement le JWT, la garde de route et le streaming SSE d'ATS — sans quoi la migration est une régression fonctionnelle.</w:t>
      </w:r>
    </w:p>
    <w:p>
      <w:pPr>
        <w:pStyle w:val="Heading2"/>
      </w:pPr>
      <w:r>
        <w:t>Q2 — LLM principal : Gemini ou Mistral ?</w:t>
      </w:r>
    </w:p>
    <w:p>
      <w:r>
        <w:t xml:space="preserve">À arbitrer sur : coût par million de tokens, latence depuis le Sénégal, disponibilité de l'API, résidence des données (élèves mineurs), qualité en français mathématique. </w:t>
      </w:r>
      <w:r>
        <w:rPr>
          <w:b/>
        </w:rPr>
        <w:t>Recommandation</w:t>
      </w:r>
      <w:r>
        <w:t xml:space="preserve"> : ne pas trancher définitivement — conserver le </w:t>
      </w:r>
      <w:r>
        <w:rPr>
          <w:rFonts w:ascii="Consolas" w:hAnsi="Consolas"/>
          <w:color w:val="0B3D91"/>
          <w:sz w:val="18"/>
        </w:rPr>
        <w:t>FallbackRouter</w:t>
      </w:r>
      <w:r>
        <w:t xml:space="preserve"> d'ATS, y ajouter </w:t>
      </w:r>
      <w:r>
        <w:rPr>
          <w:rFonts w:ascii="Consolas" w:hAnsi="Consolas"/>
          <w:color w:val="0B3D91"/>
          <w:sz w:val="18"/>
        </w:rPr>
        <w:t>GeminiLLM</w:t>
      </w:r>
      <w:r>
        <w:t>, et rendre l'</w:t>
      </w:r>
      <w:r>
        <w:rPr>
          <w:b/>
        </w:rPr>
        <w:t>ordre configurable</w:t>
      </w:r>
      <w:r>
        <w:t xml:space="preserve">. La décision devient un réglage </w:t>
      </w:r>
      <w:r>
        <w:rPr>
          <w:rFonts w:ascii="Consolas" w:hAnsi="Consolas"/>
          <w:color w:val="0B3D91"/>
          <w:sz w:val="18"/>
        </w:rPr>
        <w:t>.env</w:t>
      </w:r>
      <w:r>
        <w:t>, réversible sans modification de code. Supprimer au passage le modèle codé en dur (</w:t>
      </w:r>
      <w:r>
        <w:rPr>
          <w:rFonts w:ascii="Consolas" w:hAnsi="Consolas"/>
          <w:color w:val="0B3D91"/>
          <w:sz w:val="18"/>
        </w:rPr>
        <w:t>gemini-3.1-pro-preview</w:t>
      </w:r>
      <w:r>
        <w:t xml:space="preserve"> dans </w:t>
      </w:r>
      <w:r>
        <w:rPr>
          <w:rFonts w:ascii="Consolas" w:hAnsi="Consolas"/>
          <w:color w:val="0B3D91"/>
          <w:sz w:val="18"/>
        </w:rPr>
        <w:t>generate.py</w:t>
      </w:r>
      <w:r>
        <w:t>).</w:t>
      </w:r>
    </w:p>
    <w:p>
      <w:pPr>
        <w:pStyle w:val="Heading2"/>
      </w:pPr>
      <w:r>
        <w:t>Q3 — Corpus : droits et stockage</w:t>
      </w:r>
    </w:p>
    <w:p>
      <w:r>
        <w:t xml:space="preserve">Les 106 PDF (cours d'enseignants nommés, sujets d'examen, fascicules) sont actuellement dans l'historique Git. À trancher : </w:t>
      </w:r>
      <w:r>
        <w:rPr>
          <w:b/>
        </w:rPr>
        <w:t>droits d'usage et de rediffusion</w:t>
      </w:r>
      <w:r>
        <w:t xml:space="preserve"> ; stockage cible (Git LFS vs MinIO/S3) ; qui est responsable de la ré-ingestion et de la mise à jour du corpus. </w:t>
      </w:r>
      <w:r>
        <w:rPr>
          <w:b/>
        </w:rPr>
        <w:t>Recommandation</w:t>
      </w:r>
      <w:r>
        <w:t xml:space="preserve"> : stockage objet + script d'ingestion versionné ; le dépôt Git ne contient que le pipeline et un jeu de fixtures.</w:t>
      </w:r>
    </w:p>
    <w:p>
      <w:pPr>
        <w:pStyle w:val="Heading2"/>
      </w:pPr>
      <w:r>
        <w:t>Q4 — Périmètre v1 : enseignant et parent inclus ?</w:t>
      </w:r>
    </w:p>
    <w:p>
      <w:r>
        <w:t xml:space="preserve">Les inclure double le nombre d'écrans et de règles d'accès à tester (un parent ne doit voir </w:t>
      </w:r>
      <w:r>
        <w:rPr>
          <w:b/>
        </w:rPr>
        <w:t>que</w:t>
      </w:r>
      <w:r>
        <w:t xml:space="preserve"> ses enfants — règle à vérifier côté serveur, jamais depuis un identifiant fourni par le client). </w:t>
      </w:r>
      <w:r>
        <w:rPr>
          <w:b/>
        </w:rPr>
        <w:t>Recommandation</w:t>
      </w:r>
      <w:r>
        <w:t xml:space="preserve"> : v1 = élève + admin (parité avec ATS) ; enseignant et parent en v1.1, mais </w:t>
      </w:r>
      <w:r>
        <w:rPr>
          <w:b/>
        </w:rPr>
        <w:t>le modèle de données et les rôles sont posés dès la v1</w:t>
      </w:r>
      <w:r>
        <w:t xml:space="preserve"> pour éviter une migration coûteuse.</w:t>
      </w:r>
    </w:p>
    <w:p>
      <w:pPr>
        <w:pStyle w:val="Heading2"/>
      </w:pPr>
      <w:r>
        <w:t xml:space="preserve">Q5 — Multi-tenant : conserver </w:t>
      </w:r>
      <w:r>
        <w:rPr>
          <w:rFonts w:ascii="Consolas" w:hAnsi="Consolas"/>
          <w:color w:val="0B3D91"/>
          <w:sz w:val="18"/>
        </w:rPr>
        <w:t>tenant_id</w:t>
      </w:r>
      <w:r>
        <w:t xml:space="preserve"> + RLS ?</w:t>
      </w:r>
    </w:p>
    <w:p>
      <w:r>
        <w:t xml:space="preserve">C'est un acquis d'ATS qui coûte peu à conserver et très cher à rajouter après. </w:t>
      </w:r>
      <w:r>
        <w:rPr>
          <w:b/>
        </w:rPr>
        <w:t>Recommandation</w:t>
      </w:r>
      <w:r>
        <w:t xml:space="preserve"> : conserver. Décision à confirmer selon le modèle de déploiement visé (une instance par établissement, ou une instance mutualisée).</w:t>
      </w:r>
    </w:p>
    <w:p>
      <w:pPr>
        <w:pStyle w:val="Heading2"/>
      </w:pPr>
      <w:r>
        <w:t>Q6 — Doctrine pédagogique : socratique et cours complet coexistent-ils ?</w:t>
      </w:r>
    </w:p>
    <w:p>
      <w:r>
        <w:t>Les deux dépôts ont deux produits différents :</w:t>
      </w:r>
    </w:p>
    <w:p>
      <w:pPr>
        <w:pStyle w:val="ListBullet"/>
        <w:spacing w:after="40"/>
      </w:pPr>
      <w:r>
        <w:rPr>
          <w:b/>
        </w:rPr>
        <w:t>ATS</w:t>
      </w:r>
      <w:r>
        <w:t xml:space="preserve"> : posture socratique (indices gradués, l'agent </w:t>
      </w:r>
      <w:r>
        <w:rPr>
          <w:i/>
        </w:rPr>
        <w:t>retient</w:t>
      </w:r>
      <w:r>
        <w:t xml:space="preserve"> le contenu) +</w:t>
      </w:r>
    </w:p>
    <w:p>
      <w:r>
        <w:t xml:space="preserve">mode cours </w:t>
      </w:r>
      <w:r>
        <w:rPr>
          <w:b/>
        </w:rPr>
        <w:t>navigable section par section</w:t>
      </w:r>
      <w:r>
        <w:t xml:space="preserve"> ;</w:t>
      </w:r>
    </w:p>
    <w:p>
      <w:pPr>
        <w:pStyle w:val="ListBullet"/>
        <w:spacing w:after="40"/>
      </w:pPr>
      <w:r>
        <w:rPr>
          <w:b/>
        </w:rPr>
        <w:t>NURU</w:t>
      </w:r>
      <w:r>
        <w:t xml:space="preserve"> : génération d'un </w:t>
      </w:r>
      <w:r>
        <w:rPr>
          <w:b/>
        </w:rPr>
        <w:t>chapitre de manuel complet</w:t>
      </w:r>
      <w:r>
        <w:t xml:space="preserve"> en un seul bloc</w:t>
      </w:r>
    </w:p>
    <w:p>
      <w:r>
        <w:t>(</w:t>
      </w:r>
      <w:r>
        <w:rPr>
          <w:rFonts w:ascii="Consolas" w:hAnsi="Consolas"/>
          <w:color w:val="0B3D91"/>
          <w:sz w:val="18"/>
        </w:rPr>
        <w:t>/generate/content</w:t>
      </w:r>
      <w:r>
        <w:t>), plus proche d'un générateur de support de cours.</w:t>
      </w:r>
    </w:p>
    <w:p>
      <w:r>
        <w:t xml:space="preserve">Ce n'est pas la même promesse pour l'élève, ni la même pour un enseignant. </w:t>
      </w:r>
      <w:r>
        <w:rPr>
          <w:b/>
        </w:rPr>
        <w:t>Recommandation</w:t>
      </w:r>
      <w:r>
        <w:t xml:space="preserve"> : conserver les deux, mais les </w:t>
      </w:r>
      <w:r>
        <w:rPr>
          <w:b/>
        </w:rPr>
        <w:t>nommer et les séparer</w:t>
      </w:r>
      <w:r>
        <w:t xml:space="preserve"> explicitement dans l'interface — « Je révise avec le tuteur » (socratique) vs « Je génère une fiche de cours » (enseignant/admin). Ne pas les laisser se confondre dans un chat unique.</w:t>
      </w:r>
    </w:p>
    <w:p>
      <w:pPr>
        <w:pStyle w:val="Heading2"/>
      </w:pPr>
      <w:r>
        <w:t>Q7 — Exécution de code : conserve-t-on la sandbox ?</w:t>
      </w:r>
    </w:p>
    <w:p>
      <w:r>
        <w:rPr>
          <w:rFonts w:ascii="Consolas" w:hAnsi="Consolas"/>
          <w:color w:val="0B3D91"/>
          <w:sz w:val="18"/>
        </w:rPr>
        <w:t>sandbox.py</w:t>
      </w:r>
      <w:r>
        <w:t xml:space="preserve"> (processus séparé, whitelist de builtins, timeout 5 s) n'est utile que si l'on conserve la génération de tracés matplotlib ou l'exécution de calculs produits par le LLM. </w:t>
      </w:r>
      <w:r>
        <w:rPr>
          <w:b/>
        </w:rPr>
        <w:t>Recommandation</w:t>
      </w:r>
      <w:r>
        <w:t xml:space="preserve"> : conserver la sandbox </w:t>
      </w:r>
      <w:r>
        <w:rPr>
          <w:b/>
        </w:rPr>
        <w:t>si et seulement si</w:t>
      </w:r>
      <w:r>
        <w:t xml:space="preserve"> les tracés sont au périmètre ; sinon la retirer — c'est une surface d'attaque sans contrepartie.</w:t>
      </w:r>
    </w:p>
    <w:p>
      <w:pPr>
        <w:pStyle w:val="Heading2"/>
      </w:pPr>
      <w:r>
        <w:t>Q8 — Échéance et découpage</w:t>
      </w:r>
    </w:p>
    <w:p>
      <w:r>
        <w:t xml:space="preserve">Estimation totale : </w:t>
      </w:r>
      <w:r>
        <w:rPr>
          <w:b/>
        </w:rPr>
        <w:t>26 à 41 jours-homme</w:t>
      </w:r>
      <w:r>
        <w:t xml:space="preserve"> hors frontend, ou </w:t>
      </w:r>
      <w:r>
        <w:rPr>
          <w:b/>
        </w:rPr>
        <w:t>36 à 56</w:t>
      </w:r>
      <w:r>
        <w:t xml:space="preserve"> avec. Chemin critique : P0 → P1 → P2 → P4 → P5. P3 (domaine pédagogique) est parallélisable dès P0. </w:t>
      </w:r>
      <w:r>
        <w:rPr>
          <w:b/>
        </w:rPr>
        <w:t>À trancher</w:t>
      </w:r>
      <w:r>
        <w:t xml:space="preserve"> : date de la v1, et répartition (proposition : un développeur sur données/RAG (P1-P2), l'autre sur domaine/API (P3-P4), les deux sur le frontend).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6. Actions immédiates si les décisions sont validées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Quand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Qui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J+0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Geler les développements fonctionnels dans les deux dépôts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Les deux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J+0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Créer </w:t>
            </w:r>
            <w:r>
              <w:rPr>
                <w:rFonts w:ascii="Consolas" w:hAnsi="Consolas"/>
                <w:color w:val="0B3D91"/>
                <w:sz w:val="18"/>
              </w:rPr>
              <w:t>feat/fusion</w:t>
            </w:r>
            <w:r>
              <w:rPr>
                <w:sz w:val="18"/>
              </w:rPr>
              <w:t xml:space="preserve"> sur ATS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J+1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Sortir corpus / </w:t>
            </w:r>
            <w:r>
              <w:rPr>
                <w:rFonts w:ascii="Consolas" w:hAnsi="Consolas"/>
                <w:color w:val="0B3D91"/>
                <w:sz w:val="18"/>
              </w:rPr>
              <w:t>cloudflared</w:t>
            </w:r>
            <w:r>
              <w:rPr>
                <w:sz w:val="18"/>
              </w:rPr>
              <w:t xml:space="preserve"> / chunks redondants de l'historique Git 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Propriétaire NURU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J+1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Committer </w:t>
            </w:r>
            <w:r>
              <w:rPr>
                <w:rFonts w:ascii="Consolas" w:hAnsi="Consolas"/>
                <w:color w:val="0B3D91"/>
                <w:sz w:val="18"/>
              </w:rPr>
              <w:t>DOCUMENTATION_TECHNIQUE.md</w:t>
            </w:r>
            <w:r>
              <w:rPr>
                <w:sz w:val="18"/>
              </w:rPr>
              <w:t xml:space="preserve"> (93 Ko, actuellement non suivi — risque de perte)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Propriétaire NURU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J+2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Mettre en place la CI (</w:t>
            </w:r>
            <w:r>
              <w:rPr>
                <w:rFonts w:ascii="Consolas" w:hAnsi="Consolas"/>
                <w:color w:val="0B3D91"/>
                <w:sz w:val="18"/>
              </w:rPr>
              <w:t>pytest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0B3D91"/>
                <w:sz w:val="18"/>
              </w:rPr>
              <w:t>ruff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0B3D91"/>
                <w:sz w:val="18"/>
              </w:rPr>
              <w:t>npm run build</w:t>
            </w:r>
            <w:r>
              <w:rPr>
                <w:sz w:val="18"/>
              </w:rPr>
              <w:t xml:space="preserve">) sur </w:t>
            </w:r>
            <w:r>
              <w:rPr>
                <w:rFonts w:ascii="Consolas" w:hAnsi="Consolas"/>
                <w:color w:val="0B3D91"/>
                <w:sz w:val="18"/>
              </w:rPr>
              <w:t>feat/fusion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J+2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Démarrer P1 : parsing PDF + ingestion des 106 PDF + </w:t>
            </w:r>
            <w:r>
              <w:rPr>
                <w:b/>
                <w:sz w:val="18"/>
              </w:rPr>
              <w:t>jeu d'évaluation de recherche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Dév. données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J+2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Démarrer P3 : migration Alembic du modèle pédagogique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Dév. domaine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J+5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Rédiger l'ADR </w:t>
            </w:r>
            <w:r>
              <w:rPr>
                <w:rFonts w:ascii="Consolas" w:hAnsi="Consolas"/>
                <w:color w:val="0B3D91"/>
                <w:sz w:val="18"/>
              </w:rPr>
              <w:t>0010-fusion-nuru-ats.md</w:t>
            </w:r>
            <w:r>
              <w:rPr>
                <w:sz w:val="18"/>
              </w:rPr>
              <w:t xml:space="preserve"> (trace de la décision)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80"/>
        <w:ind w:left="283"/>
        <w:shd w:val="clear" w:fill="FFF7E6"/>
        <w:pBdr>
          <w:left w:val="single" w:sz="18" w:space="8" w:color="D9822B"/>
        </w:pBdr>
      </w:pPr>
      <w:r>
        <w:rPr>
          <w:b/>
        </w:rPr>
        <w:t>Le point le plus important du plan</w:t>
      </w:r>
      <w:r>
        <w:t xml:space="preserve"> est le </w:t>
      </w:r>
      <w:r>
        <w:rPr>
          <w:b/>
        </w:rPr>
        <w:t>jeu d'évaluation de recherche</w:t>
      </w:r>
      <w:r>
        <w:t xml:space="preserve"> (30–50 questions réelles avec chapitre attendu, </w:t>
      </w:r>
      <w:r>
        <w:rPr>
          <w:rFonts w:ascii="Consolas" w:hAnsi="Consolas"/>
          <w:color w:val="0B3D91"/>
          <w:sz w:val="18"/>
        </w:rPr>
        <w:t>recall@5</w:t>
      </w:r>
      <w:r>
        <w:t xml:space="preserve"> mesuré avant toute optimisation). Sans lui, tous les arbitrages RAG ultérieurs — RRF vs TF-IDF, bonus de type, taille des chunks — resteront des opinions invérifiables.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fldBegin w:fldCharType="begin"/>
      <w:instrText xml:space="preserve"> PAGE </w:instrText>
      <w:fldEnd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