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Rapport de fusion — choix adoptés et justifications</w:t>
      </w:r>
    </w:p>
    <w:p>
      <w:r>
        <w:fldChar w:fldCharType="begin"/>
        <w:instrText xml:space="preserve">TOC \o "1-3" \h \z \u</w:instrText>
        <w:fldChar w:fldCharType="separate"/>
        <w:t>Sommaire — clic droit sur ce cadre puis « Mettre à jour les champs ».</w:t>
        <w:fldChar w:fldCharType="end"/>
      </w:r>
    </w:p>
    <w:p>
      <w:r>
        <w:rPr>
          <w:b/>
        </w:rPr>
        <w:t>Objet</w:t>
      </w:r>
      <w:r>
        <w:t xml:space="preserve"> : rendre compte de la fusion de </w:t>
      </w:r>
      <w:r>
        <w:rPr>
          <w:rFonts w:ascii="Consolas" w:hAnsi="Consolas"/>
          <w:color w:val="0B3D91"/>
          <w:sz w:val="18"/>
        </w:rPr>
        <w:t>rag-agent-pedagogie</w:t>
      </w:r>
      <w:r>
        <w:t xml:space="preserve"> (</w:t>
      </w:r>
      <w:r>
        <w:rPr>
          <w:b/>
        </w:rPr>
        <w:t>ATS</w:t>
      </w:r>
      <w:r>
        <w:t xml:space="preserve">) et </w:t>
      </w:r>
      <w:r>
        <w:rPr>
          <w:rFonts w:ascii="Consolas" w:hAnsi="Consolas"/>
          <w:color w:val="0B3D91"/>
          <w:sz w:val="18"/>
        </w:rPr>
        <w:t>nuru-binta</w:t>
      </w:r>
      <w:r>
        <w:t xml:space="preserve"> (</w:t>
      </w:r>
      <w:r>
        <w:rPr>
          <w:b/>
        </w:rPr>
        <w:t>NURU</w:t>
      </w:r>
      <w:r>
        <w:t>) en une base unique — ce qui a été décidé, sur quelles bases, et ce qui reste à trancher.</w:t>
      </w:r>
    </w:p>
    <w:p>
      <w:r>
        <w:rPr>
          <w:b/>
        </w:rPr>
        <w:t>Branche</w:t>
      </w:r>
      <w:r>
        <w:t xml:space="preserve"> : </w:t>
      </w:r>
      <w:r>
        <w:rPr>
          <w:rFonts w:ascii="Consolas" w:hAnsi="Consolas"/>
          <w:color w:val="0B3D91"/>
          <w:sz w:val="18"/>
        </w:rPr>
        <w:t>feat/fusion</w:t>
      </w:r>
      <w:r>
        <w:t xml:space="preserve"> · </w:t>
      </w:r>
      <w:r>
        <w:rPr>
          <w:b/>
        </w:rPr>
        <w:t>Période</w:t>
      </w:r>
      <w:r>
        <w:t xml:space="preserve"> : 3–4 août 2026 · </w:t>
      </w:r>
      <w:r>
        <w:rPr>
          <w:b/>
        </w:rPr>
        <w:t>Périmètre</w:t>
      </w:r>
      <w:r>
        <w:t xml:space="preserve"> : phases P0 à P7 du plan, frontend compris.</w:t>
      </w:r>
    </w:p>
    <w:p>
      <w:r>
        <w:t xml:space="preserve">Documents liés : </w:t>
      </w:r>
      <w:r>
        <w:rPr>
          <w:color w:val="1A5FB4"/>
          <w:u w:val="single"/>
        </w:rPr>
        <w:t>SYNTHESE_REUNION_TECHNIQUE.md</w:t>
      </w:r>
      <w:r>
        <w:t xml:space="preserve"> (le plan), </w:t>
      </w:r>
      <w:r>
        <w:rPr>
          <w:color w:val="1A5FB4"/>
          <w:u w:val="single"/>
        </w:rPr>
        <w:t>adr/0010-fusion-nuru-ats.md</w:t>
      </w:r>
      <w:r>
        <w:t xml:space="preserve"> (la décision d'architecture), </w:t>
      </w:r>
      <w:r>
        <w:rPr>
          <w:color w:val="1A5FB4"/>
          <w:u w:val="single"/>
        </w:rPr>
        <w:t>../JOURNAL_FUSION.md</w:t>
      </w:r>
      <w:r>
        <w:t xml:space="preserve"> (le détail, module par module).</w:t>
      </w:r>
    </w:p>
    <w:p>
      <w:pPr>
        <w:pBdr>
          <w:bottom w:val="single" w:sz="6" w:space="1" w:color="CCCCCC"/>
        </w:pBdr>
        <w:spacing w:after="160"/>
      </w:pPr>
    </w:p>
    <w:p>
      <w:pPr>
        <w:pStyle w:val="Heading1"/>
      </w:pPr>
      <w:r>
        <w:t>1. En une page</w:t>
      </w:r>
    </w:p>
    <w:p>
      <w:r>
        <w:t xml:space="preserve">La fusion est </w:t>
      </w:r>
      <w:r>
        <w:rPr>
          <w:b/>
        </w:rPr>
        <w:t>faite</w:t>
      </w:r>
      <w:r>
        <w:t>. Les neuf modules du plan sont exécutés, du parsing des PDF jusqu'au frontend.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 w:before="40"/>
              <w:shd w:val="clear" w:fill="E8EDF3"/>
            </w:pPr>
            <w:r/>
          </w:p>
        </w:tc>
        <w:tc>
          <w:tcPr>
            <w:tcW w:type="dxa" w:w="3249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Avant</w:t>
            </w:r>
          </w:p>
        </w:tc>
        <w:tc>
          <w:tcPr>
            <w:tcW w:type="dxa" w:w="3249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Après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Tests automatisés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145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413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Routes d'API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17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21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Postures de l'agent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2 (exercice, cours)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3</w:t>
            </w:r>
            <w:r>
              <w:rPr>
                <w:sz w:val="18"/>
              </w:rPr>
              <w:t xml:space="preserve"> (+ quiz)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Tables métier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11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Fournisseurs de modèle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Mistral, Ollama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+ Gemini</w:t>
            </w:r>
            <w:r>
              <w:rPr>
                <w:sz w:val="18"/>
              </w:rPr>
              <w:t>, ordre configurable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Contrôle d'accès aux données d'élève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implicite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une règle unique, testée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Contrat frontend/API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non typé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généré depuis OpenAPI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Intégration continue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aucune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4 vérifications par PR</w:t>
            </w:r>
          </w:p>
        </w:tc>
      </w:tr>
    </w:tbl>
    <w:p>
      <w:pPr>
        <w:spacing w:after="80"/>
      </w:pPr>
    </w:p>
    <w:p>
      <w:r>
        <w:rPr>
          <w:b/>
        </w:rPr>
        <w:t>Le principe suivi</w:t>
      </w:r>
      <w:r>
        <w:t xml:space="preserve"> : garder les fondations d'ATS (sécurité, base de données, architecture) et y greffer le produit de NURU (quiz, suivi de maîtrise, corpus, parsing PDF). Aucune brique n'a été réécrite pour le plaisir.</w:t>
      </w:r>
    </w:p>
    <w:p>
      <w:r>
        <w:rPr>
          <w:b/>
        </w:rPr>
        <w:t>Trois défauts de sécurité ont été corrigés</w:t>
      </w:r>
      <w:r>
        <w:t>, dont un que la fusion avait elle-même introduit.</w:t>
      </w:r>
    </w:p>
    <w:p>
      <w:r>
        <w:rPr>
          <w:b/>
        </w:rPr>
        <w:t>Sept points restent à arbitrer</w:t>
      </w:r>
      <w:r>
        <w:t xml:space="preserve"> (§7). Le plus important est mesuré : plus de la moitié du corpus serait aujourd'hui invisible à une recherche filtrée.</w:t>
      </w:r>
    </w:p>
    <w:p>
      <w:pPr>
        <w:pBdr>
          <w:bottom w:val="single" w:sz="6" w:space="1" w:color="CCCCCC"/>
        </w:pBdr>
        <w:spacing w:after="160"/>
      </w:pPr>
    </w:p>
    <w:p>
      <w:r>
        <w:br w:type="page"/>
      </w:r>
    </w:p>
    <w:p>
      <w:pPr>
        <w:pStyle w:val="Heading1"/>
      </w:pPr>
      <w:r>
        <w:t>2. Les décisions du plan, et ce qu'elles sont devenues</w:t>
      </w:r>
    </w:p>
    <w:p>
      <w:r>
        <w:t>Les vingt décisions de la synthèse ont toutes été appliquées. Cinq ont demandé un ajustement en cours de route, justifié par une mesure (§3).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436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Brique</w:t>
            </w:r>
          </w:p>
        </w:tc>
        <w:tc>
          <w:tcPr>
            <w:tcW w:type="dxa" w:w="2436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Décision du plan</w:t>
            </w:r>
          </w:p>
        </w:tc>
        <w:tc>
          <w:tcPr>
            <w:tcW w:type="dxa" w:w="2436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Appliquée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D1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Structure et packaging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ATS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✅ tel quel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D2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Cœur de l'agent (graphe)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ATS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✅ tel quel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D3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Posture socratique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ATS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✅ tel quel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D4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Fusion de scores RAG (RRF)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ATS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✅ tel quel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D5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Filtrage curriculaire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ATS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 xml:space="preserve">⚠️ appliqué, mais voir </w:t>
            </w:r>
            <w:r>
              <w:rPr>
                <w:b/>
                <w:sz w:val="18"/>
              </w:rPr>
              <w:t>V1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D6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Priorité cours / complément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NURU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ajusté</w:t>
            </w:r>
            <w:r>
              <w:rPr>
                <w:sz w:val="18"/>
              </w:rPr>
              <w:t xml:space="preserve"> (§3.1)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D7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Parsing PDF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NURU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✅ porté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D8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Chunking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ATS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✅ tel quel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D9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Persistance (infrastructure)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ATS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✅ tel quel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D10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Modèle de données pédagogique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NURU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✅ porté, 3 tables écartées (§5)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D11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API et sécurité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ATS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✅ tel quel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D12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Périmètre fonctionnel de l'API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NURU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✅ porté (hors enseignant/parent)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D13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Rôles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4 rôles de NURU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✅ portés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D14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Chaîne LLM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ATS + Gemini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et rendue configurable</w:t>
            </w:r>
            <w:r>
              <w:rPr>
                <w:sz w:val="18"/>
              </w:rPr>
              <w:t xml:space="preserve"> (§3.4)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D15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Vérification anti-hallucination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NURU, partiellement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✅ 2 contrôles sur 5 (§5)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D16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Frontend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Next.js de NURU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maintenu malgré la mesure</w:t>
            </w:r>
            <w:r>
              <w:rPr>
                <w:sz w:val="18"/>
              </w:rPr>
              <w:t xml:space="preserve"> (§3.5)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D17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Tests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les deux suites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 xml:space="preserve">✅ </w:t>
            </w:r>
            <w:r>
              <w:rPr>
                <w:b/>
                <w:sz w:val="18"/>
              </w:rPr>
              <w:t>réécrits</w:t>
            </w:r>
            <w:r>
              <w:rPr>
                <w:sz w:val="18"/>
              </w:rPr>
              <w:t xml:space="preserve"> plutôt que recopiés (§3.3)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D18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Configuration et déploiement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ATS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✅ tel quel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D19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Corpus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NURU, hors Git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✅ hors Git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D20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Épinglage des dépendances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réflexe NURU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sz w:val="18"/>
              </w:rPr>
              <w:t>✅ appliqué</w:t>
            </w:r>
          </w:p>
        </w:tc>
      </w:tr>
    </w:tbl>
    <w:p>
      <w:pPr>
        <w:spacing w:after="80"/>
      </w:pPr>
    </w:p>
    <w:p>
      <w:pPr>
        <w:pBdr>
          <w:bottom w:val="single" w:sz="6" w:space="1" w:color="CCCCCC"/>
        </w:pBdr>
        <w:spacing w:after="160"/>
      </w:pPr>
    </w:p>
    <w:p>
      <w:r>
        <w:br w:type="page"/>
      </w:r>
    </w:p>
    <w:p>
      <w:pPr>
        <w:pStyle w:val="Heading1"/>
      </w:pPr>
      <w:r>
        <w:t>3. Les cinq points où l'exécution a précisé le plan</w:t>
      </w:r>
    </w:p>
    <w:p>
      <w:r>
        <w:t>Chacun repose sur une mesure, pas sur une préférence.</w:t>
      </w:r>
    </w:p>
    <w:p>
      <w:pPr>
        <w:pStyle w:val="Heading2"/>
      </w:pPr>
      <w:r>
        <w:t xml:space="preserve">3.1 Classer cours et complément demande </w:t>
      </w:r>
      <w:r>
        <w:rPr>
          <w:b/>
        </w:rPr>
        <w:t>deux</w:t>
      </w:r>
      <w:r>
        <w:t xml:space="preserve"> signaux, pas un</w:t>
      </w:r>
    </w:p>
    <w:p>
      <w:r>
        <w:t>Le document d'architecture cible (§3a) proposait de se fier au seul découpage structurel : un morceau intitulé « Chapitre… » est du cours, un morceau « Exercice… » ne l'est pas.</w:t>
      </w:r>
    </w:p>
    <w:p>
      <w:r>
        <w:rPr>
          <w:b/>
        </w:rPr>
        <w:t>Testé sur le corpus réel, cela ne marche pas.</w:t>
      </w:r>
      <w:r>
        <w:t xml:space="preserve"> Un TD sans titres explicites est découpé par une heuristique qui produit des « sous-notions », lesquelles passent alors pour du cours.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Règle de classement</w:t>
            </w:r>
          </w:p>
        </w:tc>
        <w:tc>
          <w:tcPr>
            <w:tcW w:type="dxa" w:w="4873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Morceaux de TD pris pour du cours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>Découpage structurel seul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1 922 sur 2 564 (74 %)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 xml:space="preserve">Découpage </w:t>
            </w:r>
            <w:r>
              <w:rPr>
                <w:b/>
                <w:sz w:val="18"/>
              </w:rPr>
              <w:t>+</w:t>
            </w:r>
            <w:r>
              <w:rPr>
                <w:sz w:val="18"/>
              </w:rPr>
              <w:t xml:space="preserve"> nature du fichier source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0</w:t>
            </w:r>
          </w:p>
        </w:tc>
      </w:tr>
    </w:tbl>
    <w:p>
      <w:pPr>
        <w:spacing w:after="80"/>
      </w:pPr>
    </w:p>
    <w:p>
      <w:r>
        <w:t>La nature du fichier (</w:t>
      </w:r>
      <w:r>
        <w:rPr>
          <w:rFonts w:ascii="Consolas" w:hAnsi="Consolas"/>
          <w:color w:val="0B3D91"/>
          <w:sz w:val="18"/>
        </w:rPr>
        <w:t>data/raw/exercices/…</w:t>
      </w:r>
      <w:r>
        <w:t>) tranche donc en dernier ressort. Un document de TD ne fournit jamais de cours principal, même quand il commence par des « rappels de cours ».</w:t>
      </w:r>
    </w:p>
    <w:p>
      <w:pPr>
        <w:pStyle w:val="Heading2"/>
      </w:pPr>
      <w:r>
        <w:t>3.2 Aucune classe ni série n'est inventée</w:t>
      </w:r>
    </w:p>
    <w:p>
      <w:r>
        <w:t xml:space="preserve">NURU remplissait </w:t>
      </w:r>
      <w:r>
        <w:rPr>
          <w:rFonts w:ascii="Consolas" w:hAnsi="Consolas"/>
          <w:color w:val="0B3D91"/>
          <w:sz w:val="18"/>
        </w:rPr>
        <w:t>classe = "Terminale"</w:t>
      </w:r>
      <w:r>
        <w:t xml:space="preserve"> et </w:t>
      </w:r>
      <w:r>
        <w:rPr>
          <w:rFonts w:ascii="Consolas" w:hAnsi="Consolas"/>
          <w:color w:val="0B3D91"/>
          <w:sz w:val="18"/>
        </w:rPr>
        <w:t>serie = "S1"</w:t>
      </w:r>
      <w:r>
        <w:t xml:space="preserve"> quand l'information manquait. C'était sans danger chez eux — tout leur corpus est du Terminale S1 — mais ces deux champs servent à </w:t>
      </w:r>
      <w:r>
        <w:rPr>
          <w:b/>
        </w:rPr>
        <w:t>filtrer ce qu'un élève voit</w:t>
      </w:r>
      <w:r>
        <w:t>. Un document faussement étiqueté apparaîtrait dans les réponses faites à un élève de Seconde.</w:t>
      </w:r>
    </w:p>
    <w:p>
      <w:r>
        <w:t xml:space="preserve">Un champ vide est préférable à un champ faux. Cet écart a une conséquence directe, mesurée, qui devient le point </w:t>
      </w:r>
      <w:r>
        <w:rPr>
          <w:b/>
        </w:rPr>
        <w:t>V1</w:t>
      </w:r>
      <w:r>
        <w:t xml:space="preserve"> (§7).</w:t>
      </w:r>
    </w:p>
    <w:p>
      <w:pPr>
        <w:pStyle w:val="Heading2"/>
      </w:pPr>
      <w:r>
        <w:t>3.3 Les tests de NURU ont été réécrits, pas recopiés</w:t>
      </w:r>
    </w:p>
    <w:p>
      <w:r>
        <w:t>Le plan prévoyait de reprendre 58 tests « directement réutilisables ». À la lecture, la plupart ne peuvent pas échouer 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# NURU — l'assertion ne s'exécute que si la condition est déjà vraie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if "serie" in metadata: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self.assertEqual(metadata["serie"], attendu)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 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# NURU — l'échec est avalé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except Exception as e: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 xml:space="preserve">    pass</w:t>
      </w:r>
    </w:p>
    <w:p>
      <w:pPr>
        <w:spacing w:after="80"/>
      </w:pPr>
    </w:p>
    <w:p>
      <w:r>
        <w:t xml:space="preserve">Vérifié : leur test « scénario réel » </w:t>
      </w:r>
      <w:r>
        <w:rPr>
          <w:b/>
        </w:rPr>
        <w:t>échouerait</w:t>
      </w:r>
      <w:r>
        <w:t xml:space="preserve"> s'il ne masquait pas l'erreur. Leur </w:t>
      </w:r>
      <w:r>
        <w:rPr>
          <w:i/>
        </w:rPr>
        <w:t>intention</w:t>
      </w:r>
      <w:r>
        <w:t xml:space="preserve"> — les cas réels du corpus sénégalais — a été portée avec des assertions qui, elles, échouent quand le comportement change.</w:t>
      </w:r>
    </w:p>
    <w:p>
      <w:pPr>
        <w:pStyle w:val="Heading2"/>
      </w:pPr>
      <w:r>
        <w:t>3.4 L'arbitrage Gemini / Mistral n'a pas eu à être tranché</w:t>
      </w:r>
    </w:p>
    <w:p>
      <w:r>
        <w:t>La question Q2 du plan (quel modèle principal ?) n'avait pas de réponse évidente : coût, latence depuis le Sénégal, disponibilité, résidence des données d'élèves mineurs. Elle est devenue un réglage 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LLM_CHAIN=gemini,mistral,mock   # dans .env — aucune modification de code</w:t>
      </w:r>
    </w:p>
    <w:p>
      <w:pPr>
        <w:spacing w:after="80"/>
      </w:pPr>
    </w:p>
    <w:p>
      <w:r>
        <w:t xml:space="preserve">Vérifié sur cinq configurations réelles. Le dernier maillon reste toujours le simulacre : </w:t>
      </w:r>
      <w:r>
        <w:rPr>
          <w:b/>
        </w:rPr>
        <w:t>la génération n'échoue jamais complètement</w:t>
      </w:r>
      <w:r>
        <w:t>. C'est la différence avec NURU, où l'absence de clé renvoyait à l'élève un mode d'emploi de configuration d'API au lieu d'une réponse.</w:t>
      </w:r>
    </w:p>
    <w:p>
      <w:pPr>
        <w:pStyle w:val="Heading2"/>
      </w:pPr>
      <w:r>
        <w:t>3.5 Frontend : la mesure contredisait la recommandation, le choix a été maintenu</w:t>
      </w:r>
    </w:p>
    <w:p>
      <w:r>
        <w:t>Le plan recommandait Next.js parce que NURU avait « 21 écrans déjà conçus » contre 7 côté Vue. L'état réel a été mesuré avant de reposer la question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Mesure</w:t>
            </w:r>
          </w:p>
        </w:tc>
        <w:tc>
          <w:tcPr>
            <w:tcW w:type="dxa" w:w="4873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Résultat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>Endpoints appelés par le frontend NURU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>14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>Qui existent dans notre API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2</w:t>
            </w:r>
            <w:r>
              <w:rPr>
                <w:sz w:val="18"/>
              </w:rPr>
              <w:t xml:space="preserve"> (et avec des chemins différents)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>Qui visent des fonctionnalités reportées (enseignant/parent) ou retirées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>Streaming SSE dans le frontend NURU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aucun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>JWT, garde de route et streaming dans le frontend Vue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les trois, fonctionnels</w:t>
            </w:r>
          </w:p>
        </w:tc>
      </w:tr>
    </w:tbl>
    <w:p>
      <w:pPr>
        <w:spacing w:after="80"/>
      </w:pPr>
    </w:p>
    <w:p>
      <w:r>
        <w:t xml:space="preserve">Autrement dit, la plupart des écrans de NURU visent un backend qui n'existe plus. </w:t>
      </w:r>
      <w:r>
        <w:rPr>
          <w:b/>
        </w:rPr>
        <w:t>L'équipe a maintenu le choix de Next.js après avoir vu ces chiffres</w:t>
      </w:r>
      <w:r>
        <w:t xml:space="preserve"> ; il a donc été appliqué. La mesure est consignée pour mémoire, et explique pourquoi certains écrans de NURU n'ont pas été repris.</w:t>
      </w:r>
    </w:p>
    <w:p>
      <w:pPr>
        <w:pBdr>
          <w:bottom w:val="single" w:sz="6" w:space="1" w:color="CCCCCC"/>
        </w:pBdr>
        <w:spacing w:after="160"/>
      </w:pPr>
    </w:p>
    <w:p>
      <w:r>
        <w:br w:type="page"/>
      </w:r>
    </w:p>
    <w:p>
      <w:pPr>
        <w:pStyle w:val="Heading1"/>
      </w:pPr>
      <w:r>
        <w:t>4. Ce que la fusion a corrigé</w:t>
      </w:r>
    </w:p>
    <w:p>
      <w:pPr>
        <w:pStyle w:val="Heading2"/>
      </w:pPr>
      <w:r>
        <w:t>4.1 Trois défauts de sécurité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Défaut</w:t>
            </w:r>
          </w:p>
        </w:tc>
        <w:tc>
          <w:tcPr>
            <w:tcW w:type="dxa" w:w="3249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Origine</w:t>
            </w:r>
          </w:p>
        </w:tc>
        <w:tc>
          <w:tcPr>
            <w:tcW w:type="dxa" w:w="3249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État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31 routes d'API sans aucun contrôle d'accès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NURU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Corrigé</w:t>
            </w:r>
            <w:r>
              <w:rPr>
                <w:sz w:val="18"/>
              </w:rPr>
              <w:t xml:space="preserve"> — JWT partout, test 401 sur chaque route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La bonne réponse d'un quiz envoyée au navigateur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NURU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Corrigé</w:t>
            </w:r>
            <w:r>
              <w:rPr>
                <w:sz w:val="18"/>
              </w:rPr>
              <w:t xml:space="preserve"> — jeton signé, illisible par le client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Un parent pouvait consulter n'importe quel élève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la fusion elle-même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Corrigé</w:t>
            </w:r>
            <w:r>
              <w:rPr>
                <w:sz w:val="18"/>
              </w:rPr>
              <w:t xml:space="preserve"> — règle d'accès unique, tests 403</w:t>
            </w:r>
          </w:p>
        </w:tc>
      </w:tr>
    </w:tbl>
    <w:p>
      <w:pPr>
        <w:spacing w:after="80"/>
      </w:pPr>
    </w:p>
    <w:p>
      <w:r>
        <w:t xml:space="preserve">Le troisième mérite d'être exposé franchement : en étendant </w:t>
      </w:r>
      <w:r>
        <w:rPr>
          <w:rFonts w:ascii="Consolas" w:hAnsi="Consolas"/>
          <w:color w:val="0B3D91"/>
          <w:sz w:val="18"/>
        </w:rPr>
        <w:t>users.role</w:t>
      </w:r>
      <w:r>
        <w:t xml:space="preserve"> à quatre valeurs (module 3), un contrôle existant est devenu permissif. Il disait « si ce n'est pas un élève, laisse passer » — juste tant qu'il n'existait que </w:t>
      </w:r>
      <w:r>
        <w:rPr>
          <w:rFonts w:ascii="Consolas" w:hAnsi="Consolas"/>
          <w:color w:val="0B3D91"/>
          <w:sz w:val="18"/>
        </w:rPr>
        <w:t>admin</w:t>
      </w:r>
      <w:r>
        <w:t xml:space="preserve"> et </w:t>
      </w:r>
      <w:r>
        <w:rPr>
          <w:rFonts w:ascii="Consolas" w:hAnsi="Consolas"/>
          <w:color w:val="0B3D91"/>
          <w:sz w:val="18"/>
        </w:rPr>
        <w:t>student</w:t>
      </w:r>
      <w:r>
        <w:t xml:space="preserve">, faux dès l'ajout de </w:t>
      </w:r>
      <w:r>
        <w:rPr>
          <w:rFonts w:ascii="Consolas" w:hAnsi="Consolas"/>
          <w:color w:val="0B3D91"/>
          <w:sz w:val="18"/>
        </w:rPr>
        <w:t>teacher</w:t>
      </w:r>
      <w:r>
        <w:t xml:space="preserve"> et </w:t>
      </w:r>
      <w:r>
        <w:rPr>
          <w:rFonts w:ascii="Consolas" w:hAnsi="Consolas"/>
          <w:color w:val="0B3D91"/>
          <w:sz w:val="18"/>
        </w:rPr>
        <w:t>parent</w:t>
      </w:r>
      <w:r>
        <w:t xml:space="preserve">. La règle est désormais écrite </w:t>
      </w:r>
      <w:r>
        <w:rPr>
          <w:b/>
        </w:rPr>
        <w:t>une seule fois</w:t>
      </w:r>
      <w:r>
        <w:t xml:space="preserve"> (</w:t>
      </w:r>
      <w:r>
        <w:rPr>
          <w:rFonts w:ascii="Consolas" w:hAnsi="Consolas"/>
          <w:color w:val="0B3D91"/>
          <w:sz w:val="18"/>
        </w:rPr>
        <w:t>ensure_can_access_student</w:t>
      </w:r>
      <w:r>
        <w:t>) et couverte par des tests par rôle.</w:t>
      </w:r>
    </w:p>
    <w:p>
      <w:pPr>
        <w:pStyle w:val="Heading2"/>
      </w:pPr>
      <w:r>
        <w:t>4.2 Deux défauts fonctionnels silencieux</w:t>
      </w:r>
    </w:p>
    <w:p>
      <w:pPr>
        <w:pStyle w:val="ListBullet"/>
        <w:spacing w:after="40"/>
      </w:pPr>
      <w:r>
        <w:rPr>
          <w:b/>
        </w:rPr>
        <w:t>`zip()` sans garde à l'indexation</w:t>
      </w:r>
      <w:r>
        <w:t xml:space="preserve"> : si le calculateur d'embeddings</w:t>
      </w:r>
    </w:p>
    <w:p>
      <w:r>
        <w:t xml:space="preserve">renvoyait moins de vecteurs que de morceaux, les derniers n'étaient </w:t>
      </w:r>
      <w:r>
        <w:rPr>
          <w:b/>
        </w:rPr>
        <w:t>jamais indexés</w:t>
      </w:r>
      <w:r>
        <w:t>, sans erreur ni journal. Panne invisible jusqu'à ce qu'un élève ne trouve rien.</w:t>
      </w:r>
    </w:p>
    <w:p>
      <w:pPr>
        <w:pStyle w:val="ListBullet"/>
        <w:spacing w:after="40"/>
      </w:pPr>
      <w:r>
        <w:rPr>
          <w:b/>
        </w:rPr>
        <w:t>La garde de route du frontend interceptait `/health`</w:t>
      </w:r>
      <w:r>
        <w:t xml:space="preserve"> et le redirigeait</w:t>
      </w:r>
    </w:p>
    <w:p>
      <w:r>
        <w:t>vers le login : le tableau de bord d'administration s'affichait en erreur.</w:t>
      </w:r>
    </w:p>
    <w:p>
      <w:r>
        <w:rPr>
          <w:b/>
        </w:rPr>
        <w:t>Aucun des cinq n'aurait été trouvé par les tests unitaires seuls.</w:t>
      </w:r>
      <w:r>
        <w:t xml:space="preserve"> Tous viennent d'une vérification contre l'infrastructure réelle : les 103 PDF, une vraie base PostgreSQL, un vrai serveur.</w:t>
      </w:r>
    </w:p>
    <w:p>
      <w:pPr>
        <w:pBdr>
          <w:bottom w:val="single" w:sz="6" w:space="1" w:color="CCCCCC"/>
        </w:pBdr>
        <w:spacing w:after="160"/>
      </w:pPr>
    </w:p>
    <w:p>
      <w:r>
        <w:br w:type="page"/>
      </w:r>
    </w:p>
    <w:p>
      <w:pPr>
        <w:pStyle w:val="Heading1"/>
      </w:pPr>
      <w:r>
        <w:t>5. Ce qui a été abandonné, et pourquoi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Élément</w:t>
            </w:r>
          </w:p>
        </w:tc>
        <w:tc>
          <w:tcPr>
            <w:tcW w:type="dxa" w:w="3249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Origine</w:t>
            </w:r>
          </w:p>
        </w:tc>
        <w:tc>
          <w:tcPr>
            <w:tcW w:type="dxa" w:w="3249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Raison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 xml:space="preserve">Tables </w:t>
            </w:r>
            <w:r>
              <w:rPr>
                <w:rFonts w:ascii="Consolas" w:hAnsi="Consolas"/>
                <w:color w:val="0B3D91"/>
                <w:sz w:val="18"/>
              </w:rPr>
              <w:t>students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91"/>
                <w:sz w:val="18"/>
              </w:rPr>
              <w:t>interactions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91"/>
                <w:sz w:val="18"/>
              </w:rPr>
              <w:t>teachers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NURU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 xml:space="preserve">Doublons de </w:t>
            </w:r>
            <w:r>
              <w:rPr>
                <w:rFonts w:ascii="Consolas" w:hAnsi="Consolas"/>
                <w:color w:val="0B3D91"/>
                <w:sz w:val="18"/>
              </w:rPr>
              <w:t>student_id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B3D91"/>
                <w:sz w:val="18"/>
              </w:rPr>
              <w:t>messages</w:t>
            </w:r>
            <w:r>
              <w:rPr>
                <w:sz w:val="18"/>
              </w:rPr>
              <w:t xml:space="preserve"> et </w:t>
            </w:r>
            <w:r>
              <w:rPr>
                <w:rFonts w:ascii="Consolas" w:hAnsi="Consolas"/>
                <w:color w:val="0B3D91"/>
                <w:sz w:val="18"/>
              </w:rPr>
              <w:t>users.role</w:t>
            </w:r>
            <w:r>
              <w:rPr>
                <w:sz w:val="18"/>
              </w:rPr>
              <w:t xml:space="preserve">. </w:t>
            </w:r>
            <w:r>
              <w:rPr>
                <w:rFonts w:ascii="Consolas" w:hAnsi="Consolas"/>
                <w:color w:val="0B3D91"/>
                <w:sz w:val="18"/>
              </w:rPr>
              <w:t>teachers</w:t>
            </w:r>
            <w:r>
              <w:rPr>
                <w:sz w:val="18"/>
              </w:rPr>
              <w:t xml:space="preserve"> imposait surtout </w:t>
            </w:r>
            <w:r>
              <w:rPr>
                <w:b/>
                <w:sz w:val="18"/>
              </w:rPr>
              <w:t>deux chemins d'authentification</w:t>
            </w:r>
            <w:r>
              <w:rPr>
                <w:sz w:val="18"/>
              </w:rPr>
              <w:t xml:space="preserve"> à sécuriser au lieu d'un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0B3D91"/>
                <w:sz w:val="18"/>
              </w:rPr>
              <w:t>_check_coherence</w:t>
            </w:r>
            <w:r>
              <w:rPr>
                <w:sz w:val="18"/>
              </w:rPr>
              <w:t xml:space="preserve"> et </w:t>
            </w:r>
            <w:r>
              <w:rPr>
                <w:rFonts w:ascii="Consolas" w:hAnsi="Consolas"/>
                <w:color w:val="0B3D91"/>
                <w:sz w:val="18"/>
              </w:rPr>
              <w:t>_check_hallucinations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NURU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 xml:space="preserve">Notaient la « cohérence » en comptant les mots « donc », « ainsi ». Un texte </w:t>
            </w:r>
            <w:r>
              <w:rPr>
                <w:b/>
                <w:sz w:val="18"/>
              </w:rPr>
              <w:t>faux</w:t>
            </w:r>
            <w:r>
              <w:rPr>
                <w:sz w:val="18"/>
              </w:rPr>
              <w:t xml:space="preserve"> truffé de connecteurs obtenait une bonne note. Une mesure qui ne mesure pas ce qu'elle annonce est pire que pas de mesure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0B3D91"/>
                <w:sz w:val="18"/>
              </w:rPr>
              <w:t>NougatAdapter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NURU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 xml:space="preserve">L'implémentation n'appelle pas l'interface réelle de la bibliothèque ; </w:t>
            </w:r>
            <w:r>
              <w:rPr>
                <w:rFonts w:ascii="Consolas" w:hAnsi="Consolas"/>
                <w:color w:val="0B3D91"/>
                <w:sz w:val="18"/>
              </w:rPr>
              <w:t>nougat</w:t>
            </w:r>
            <w:r>
              <w:rPr>
                <w:sz w:val="18"/>
              </w:rPr>
              <w:t xml:space="preserve"> n'étant installé nulle part, le code retombait </w:t>
            </w:r>
            <w:r>
              <w:rPr>
                <w:b/>
                <w:sz w:val="18"/>
              </w:rPr>
              <w:t>toujours</w:t>
            </w:r>
            <w:r>
              <w:rPr>
                <w:sz w:val="18"/>
              </w:rPr>
              <w:t xml:space="preserve"> sur PyMuPDF sans que personne ne s'en aperçoive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 xml:space="preserve">SDK </w:t>
            </w:r>
            <w:r>
              <w:rPr>
                <w:rFonts w:ascii="Consolas" w:hAnsi="Consolas"/>
                <w:color w:val="0B3D91"/>
                <w:sz w:val="18"/>
              </w:rPr>
              <w:t>google-generativeai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NURU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Synchrone</w:t>
            </w:r>
            <w:r>
              <w:rPr>
                <w:sz w:val="18"/>
              </w:rPr>
              <w:t xml:space="preserve"> : chaque génération bloquerait le serveur entier, pour toutes les requêtes en cours. Remplacé par un appel HTTP asynchrone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Repli de connexion d'</w:t>
            </w:r>
            <w:r>
              <w:rPr>
                <w:rFonts w:ascii="Consolas" w:hAnsi="Consolas"/>
                <w:color w:val="0B3D91"/>
                <w:sz w:val="18"/>
              </w:rPr>
              <w:t>AuthContext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NURU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 xml:space="preserve">Déduisait le rôle de l'adresse e-mail quand le backend ne répondait pas : couper son réseau et se connecter avec </w:t>
            </w:r>
            <w:r>
              <w:rPr>
                <w:rFonts w:ascii="Consolas" w:hAnsi="Consolas"/>
                <w:color w:val="0B3D91"/>
                <w:sz w:val="18"/>
              </w:rPr>
              <w:t>admin@…</w:t>
            </w:r>
            <w:r>
              <w:rPr>
                <w:sz w:val="18"/>
              </w:rPr>
              <w:t xml:space="preserve"> ouvrait l'administration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Replis de données fabriquées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NURU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Des statistiques plausibles masquaient les pannes ; trois chiffres différents circulaient pour la même métrique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0B3D91"/>
                <w:sz w:val="18"/>
              </w:rPr>
              <w:t>create_all()</w:t>
            </w:r>
            <w:r>
              <w:rPr>
                <w:sz w:val="18"/>
              </w:rPr>
              <w:t>, repli SQLite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NURU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Ne fait jamais évoluer une table existante — perte de données garantie en production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Rerangement TF-IDF par requête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NURU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Réapprenait un modèle sur ~40 documents à chaque question ; remplacé par le RRF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Sandbox d'exécution Python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NURU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 xml:space="preserve">Aucun tracé ni exécution de code au périmètre : surface d'attaque sans contrepartie. </w:t>
            </w:r>
            <w:r>
              <w:rPr>
                <w:b/>
                <w:sz w:val="18"/>
              </w:rPr>
              <w:t>Décision réversible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0B3D91"/>
                <w:sz w:val="18"/>
              </w:rPr>
              <w:t>pypdf</w:t>
            </w:r>
            <w:r>
              <w:rPr>
                <w:sz w:val="18"/>
              </w:rPr>
              <w:t xml:space="preserve"> comme lecteur principal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ATS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 xml:space="preserve">Aplatit les formules mathématiques. Conservé en </w:t>
            </w:r>
            <w:r>
              <w:rPr>
                <w:b/>
                <w:sz w:val="18"/>
              </w:rPr>
              <w:t>repli</w:t>
            </w:r>
          </w:p>
        </w:tc>
      </w:tr>
    </w:tbl>
    <w:p>
      <w:pPr>
        <w:spacing w:after="80"/>
      </w:pPr>
    </w:p>
    <w:p>
      <w:r>
        <w:t xml:space="preserve">À retenir : </w:t>
      </w:r>
      <w:r>
        <w:rPr>
          <w:b/>
        </w:rPr>
        <w:t>rien n'a été écarté pour des raisons de style</w:t>
      </w:r>
      <w:r>
        <w:t>. Chaque abandon répond à un défaut vérifiable ou à un doublon.</w:t>
      </w:r>
    </w:p>
    <w:p>
      <w:pPr>
        <w:pBdr>
          <w:bottom w:val="single" w:sz="6" w:space="1" w:color="CCCCCC"/>
        </w:pBdr>
        <w:spacing w:after="160"/>
      </w:pPr>
    </w:p>
    <w:p>
      <w:r>
        <w:br w:type="page"/>
      </w:r>
    </w:p>
    <w:p>
      <w:pPr>
        <w:pStyle w:val="Heading1"/>
      </w:pPr>
      <w:r>
        <w:t>6. Ce que la fusion apporte, en chiffres</w:t>
      </w:r>
    </w:p>
    <w:p>
      <w:pPr>
        <w:pStyle w:val="Heading2"/>
      </w:pPr>
      <w:r>
        <w:t>Vérifications faites sur l'infrastructure réelle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Quoi</w:t>
            </w:r>
          </w:p>
        </w:tc>
        <w:tc>
          <w:tcPr>
            <w:tcW w:type="dxa" w:w="4873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Résultat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>PDF du corpus lus sans erreur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103 / 103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>Morceaux produits par le pipeline complet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>6 007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>Classement cours / complément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0 faux positif</w:t>
            </w:r>
            <w:r>
              <w:rPr>
                <w:sz w:val="18"/>
              </w:rPr>
              <w:t xml:space="preserve"> sur 2 564 morceaux de TD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 xml:space="preserve">Migrations, aller </w:t>
            </w:r>
            <w:r>
              <w:rPr>
                <w:b/>
                <w:sz w:val="18"/>
              </w:rPr>
              <w:t>et</w:t>
            </w:r>
            <w:r>
              <w:rPr>
                <w:sz w:val="18"/>
              </w:rPr>
              <w:t xml:space="preserve"> retour, sur PostgreSQL 16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>✅ 13 tables, RLS forcée sur les 5 nouvelles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>Boucle quiz de bout en bout via le frontend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>✅ correction, maîtrise, 3 badges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>Streaming SSE via le frontend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>✅ 48 fragments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>Renommer un champ d'API casse la compilation du frontend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>✅ 6 erreurs, lignes exactes</w:t>
            </w:r>
          </w:p>
        </w:tc>
      </w:tr>
    </w:tbl>
    <w:p>
      <w:pPr>
        <w:spacing w:after="80"/>
      </w:pPr>
    </w:p>
    <w:p>
      <w:pPr>
        <w:pStyle w:val="Heading2"/>
      </w:pPr>
      <w:r>
        <w:t>Garanties mises en place</w:t>
      </w:r>
    </w:p>
    <w:p>
      <w:r>
        <w:t xml:space="preserve">L'intégration continue exécute </w:t>
      </w:r>
      <w:r>
        <w:rPr>
          <w:b/>
        </w:rPr>
        <w:t>quatre vérifications</w:t>
      </w:r>
      <w:r>
        <w:t xml:space="preserve"> sur chaque proposition de modification :</w:t>
      </w:r>
    </w:p>
    <w:p>
      <w:pPr>
        <w:pStyle w:val="ListNumber"/>
        <w:spacing w:after="40"/>
      </w:pPr>
      <w:r>
        <w:t>analyse statique du code ;</w:t>
      </w:r>
    </w:p>
    <w:p>
      <w:pPr>
        <w:pStyle w:val="ListNumber"/>
        <w:spacing w:after="40"/>
      </w:pPr>
      <w:r>
        <w:rPr>
          <w:b/>
        </w:rPr>
        <w:t>413 tests contre un vrai PostgreSQL</w:t>
      </w:r>
      <w:r>
        <w:t xml:space="preserve"> — sans base, 96 tests sont ignorés,</w:t>
      </w:r>
    </w:p>
    <w:p>
      <w:r>
        <w:t xml:space="preserve">dont </w:t>
      </w:r>
      <w:r>
        <w:rPr>
          <w:i/>
        </w:rPr>
        <w:t>tous</w:t>
      </w:r>
      <w:r>
        <w:t xml:space="preserve"> ceux du contrôle d'accès ;</w:t>
      </w:r>
    </w:p>
    <w:p>
      <w:pPr>
        <w:pStyle w:val="ListNumber"/>
        <w:spacing w:after="40"/>
      </w:pPr>
      <w:r>
        <w:t>le schéma OpenAPI est régénéré et comparé — il échoue s'il a dérivé du code ;</w:t>
      </w:r>
    </w:p>
    <w:p>
      <w:pPr>
        <w:pStyle w:val="ListNumber"/>
        <w:spacing w:after="40"/>
      </w:pPr>
      <w:r>
        <w:t>les types du frontend sont régénérés et comparés — ils échouent s'ils ont</w:t>
      </w:r>
    </w:p>
    <w:p>
      <w:r>
        <w:t>dérivé du schéma.</w:t>
      </w:r>
    </w:p>
    <w:p>
      <w:r>
        <w:t xml:space="preserve">Les deux derniers sont le mécanisme anti-divergence : </w:t>
      </w:r>
      <w:r>
        <w:rPr>
          <w:b/>
        </w:rPr>
        <w:t>c'est ce qui empêchera les deux moitiés du projet de se séparer à nouveau.</w:t>
      </w:r>
    </w:p>
    <w:p>
      <w:pPr>
        <w:pBdr>
          <w:bottom w:val="single" w:sz="6" w:space="1" w:color="CCCCCC"/>
        </w:pBdr>
        <w:spacing w:after="160"/>
      </w:pPr>
    </w:p>
    <w:p>
      <w:r>
        <w:br w:type="page"/>
      </w:r>
    </w:p>
    <w:p>
      <w:pPr>
        <w:pStyle w:val="Heading1"/>
      </w:pPr>
      <w:r>
        <w:t>7. Les sept points à trancher en réunion</w:t>
      </w:r>
    </w:p>
    <w:p>
      <w:r>
        <w:t xml:space="preserve">Le code n'a été modifié dans aucun sens sur ces points : ils attendent une décision collective. Le détail et les options sont dans </w:t>
      </w:r>
      <w:r>
        <w:rPr>
          <w:color w:val="1A5FB4"/>
          <w:u w:val="single"/>
        </w:rPr>
        <w:t>JOURNAL_FUSION.md</w:t>
      </w:r>
      <w:r>
        <w:t>, section « ⚠️ Points à valider 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249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3249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Enjeu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V1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Plus de la moitié du corpus est invisible à une recherche filtrée par série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 xml:space="preserve">🔴 </w:t>
            </w:r>
            <w:r>
              <w:rPr>
                <w:b/>
                <w:sz w:val="18"/>
              </w:rPr>
              <w:t>majeur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V4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Le jeu d'évaluation de recherche n'existe pas → les gains RAG ne sont pas mesurés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🟠 moyen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V7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Basculer le déploiement vers le nouveau frontend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🟠 moyen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V2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 xml:space="preserve">Faut-il porter </w:t>
            </w:r>
            <w:r>
              <w:rPr>
                <w:rFonts w:ascii="Consolas" w:hAnsi="Consolas"/>
                <w:color w:val="0B3D91"/>
                <w:sz w:val="18"/>
              </w:rPr>
              <w:t>NougatAdapter</w:t>
            </w:r>
            <w:r>
              <w:rPr>
                <w:sz w:val="18"/>
              </w:rPr>
              <w:t xml:space="preserve"> ?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🟢 faible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V3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Que faire de la ligne « Compétences » des documents ?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🟢 faible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V5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Une bonne explication de quiz peut être écartée par une règle trop stricte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🟢 faible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V6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Faut-il persister les quiz en base pour analyser la qualité des questions ?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🟢 faible</w:t>
            </w:r>
          </w:p>
        </w:tc>
      </w:tr>
    </w:tbl>
    <w:p>
      <w:pPr>
        <w:spacing w:after="80"/>
      </w:pPr>
    </w:p>
    <w:p>
      <w:pPr>
        <w:pStyle w:val="Heading2"/>
      </w:pPr>
      <w:r>
        <w:t>V1 — le point à traiter en priorité</w:t>
      </w:r>
    </w:p>
    <w:p>
      <w:r>
        <w:rPr>
          <w:b/>
        </w:rPr>
        <w:t>Mesuré sur les 103 PDF</w:t>
      </w:r>
      <w:r>
        <w:t xml:space="preserve">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Série reconnue</w:t>
            </w:r>
          </w:p>
        </w:tc>
        <w:tc>
          <w:tcPr>
            <w:tcW w:type="dxa" w:w="4873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Documents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0B3D91"/>
                <w:sz w:val="18"/>
              </w:rPr>
              <w:t>S1</w:t>
            </w:r>
            <w:r>
              <w:rPr>
                <w:sz w:val="18"/>
              </w:rPr>
              <w:t xml:space="preserve"> (exploitable)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>41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>aucune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0B3D91"/>
                <w:sz w:val="18"/>
              </w:rPr>
              <w:t>S</w:t>
            </w:r>
            <w:r>
              <w:rPr>
                <w:sz w:val="18"/>
              </w:rPr>
              <w:t xml:space="preserve"> (ambigu)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0B3D91"/>
                <w:sz w:val="18"/>
              </w:rPr>
              <w:t>TS</w:t>
            </w:r>
            <w:r>
              <w:rPr>
                <w:sz w:val="18"/>
              </w:rPr>
              <w:t xml:space="preserve"> (ambigu)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0B3D91"/>
                <w:sz w:val="18"/>
              </w:rPr>
              <w:t>S2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0B3D91"/>
                <w:sz w:val="18"/>
              </w:rPr>
              <w:t>C</w:t>
            </w:r>
            <w:r>
              <w:rPr>
                <w:sz w:val="18"/>
              </w:rPr>
              <w:t xml:space="preserve"> (ambigu)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sz w:val="18"/>
              </w:rPr>
              <w:t>1</w:t>
            </w:r>
          </w:p>
        </w:tc>
      </w:tr>
    </w:tbl>
    <w:p>
      <w:pPr>
        <w:spacing w:after="80"/>
      </w:pPr>
    </w:p>
    <w:p>
      <w:r>
        <w:t xml:space="preserve">Or le filtre exclut un document dont la série ne correspond pas exactement — et il exclut aussi ceux dont la série est </w:t>
      </w:r>
      <w:r>
        <w:rPr>
          <w:b/>
        </w:rPr>
        <w:t>vide</w:t>
      </w:r>
      <w:r>
        <w:t>. Vérifié en exécutant le filtre :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chunk sans série  -&gt; retenu ? False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chunk série 'S'   -&gt; retenu ? False</w:t>
      </w:r>
    </w:p>
    <w:p>
      <w:pPr>
        <w:spacing w:after="0" w:before="0" w:line="240" w:lineRule="auto"/>
        <w:ind w:left="227"/>
        <w:shd w:val="clear" w:fill="F4F4F5"/>
      </w:pPr>
      <w:r>
        <w:rPr>
          <w:rFonts w:ascii="Consolas" w:hAnsi="Consolas"/>
          <w:sz w:val="17"/>
        </w:rPr>
        <w:t>chunk série 'S1'  -&gt; retenu ? True</w:t>
      </w:r>
    </w:p>
    <w:p>
      <w:pPr>
        <w:spacing w:after="80"/>
      </w:pPr>
    </w:p>
    <w:p>
      <w:r>
        <w:rPr>
          <w:b/>
        </w:rPr>
        <w:t>59 documents sur 103 disparaîtraient</w:t>
      </w:r>
      <w:r>
        <w:t xml:space="preserve"> d'une recherche filtrée sur « S1 ».</w:t>
      </w:r>
    </w:p>
    <w:p>
      <w:r>
        <w:rPr>
          <w:b/>
        </w:rPr>
        <w:t>D'où viennent les `S` ?</w:t>
      </w:r>
      <w:r>
        <w:t xml:space="preserve"> De documents portant « Classe : Terminale S » — la notation </w:t>
      </w:r>
      <w:r>
        <w:rPr>
          <w:b/>
        </w:rPr>
        <w:t>française</w:t>
      </w:r>
      <w:r>
        <w:t>. En regardant les auteurs (</w:t>
      </w:r>
      <w:r>
        <w:rPr>
          <w:rFonts w:ascii="Consolas" w:hAnsi="Consolas"/>
          <w:color w:val="0B3D91"/>
          <w:sz w:val="18"/>
        </w:rPr>
        <w:t>G. COSTANTINI</w:t>
      </w:r>
      <w:r>
        <w:t xml:space="preserve">, </w:t>
      </w:r>
      <w:r>
        <w:rPr>
          <w:rFonts w:ascii="Consolas" w:hAnsi="Consolas"/>
          <w:color w:val="0B3D91"/>
          <w:sz w:val="18"/>
        </w:rPr>
        <w:t>Jérôme ONILLON</w:t>
      </w:r>
      <w:r>
        <w:t xml:space="preserve">), une partie du dossier </w:t>
      </w:r>
      <w:r>
        <w:rPr>
          <w:rFonts w:ascii="Consolas" w:hAnsi="Consolas"/>
          <w:color w:val="0B3D91"/>
          <w:sz w:val="18"/>
        </w:rPr>
        <w:t>cours/</w:t>
      </w:r>
      <w:r>
        <w:t xml:space="preserve"> est constituée de polycopiés français, pas du programme sénégalais.</w:t>
      </w:r>
    </w:p>
    <w:p>
      <w:r>
        <w:t>Deux questions distinctes, donc :</w:t>
      </w:r>
    </w:p>
    <w:p>
      <w:pPr>
        <w:pStyle w:val="ListNumber"/>
        <w:spacing w:after="40"/>
      </w:pPr>
      <w:r>
        <w:rPr>
          <w:b/>
        </w:rPr>
        <w:t>technique</w:t>
      </w:r>
      <w:r>
        <w:t xml:space="preserve"> — une série absente ou ambiguë doit-elle exclure un document ?</w:t>
      </w:r>
    </w:p>
    <w:p>
      <w:r>
        <w:rPr>
          <w:i/>
        </w:rPr>
        <w:t>(avis : non ; un document trouvable mais un peu hors-sujet vaut mieux qu'un document introuvable)</w:t>
      </w:r>
      <w:r>
        <w:t xml:space="preserve"> ;</w:t>
      </w:r>
    </w:p>
    <w:p>
      <w:pPr>
        <w:pStyle w:val="ListNumber"/>
        <w:spacing w:after="40"/>
      </w:pPr>
      <w:r>
        <w:rPr>
          <w:b/>
        </w:rPr>
        <w:t>contenu</w:t>
      </w:r>
      <w:r>
        <w:t xml:space="preserve"> — les polycopiés français ont-ils leur place dans un tuteur du</w:t>
      </w:r>
    </w:p>
    <w:p>
      <w:r>
        <w:t>programme sénégalais ? Cela rejoint la question Q3 sur les droits d'usage.</w:t>
      </w:r>
    </w:p>
    <w:p>
      <w:pPr>
        <w:pStyle w:val="Heading2"/>
      </w:pPr>
      <w:r>
        <w:t>V4 — la mesure qui manque à tous les arbitrages RAG</w:t>
      </w:r>
    </w:p>
    <w:p>
      <w:r>
        <w:t xml:space="preserve">Le jeu d'évaluation de recherche (30 à 50 questions d'élèves réelles avec le chapitre attendu) </w:t>
      </w:r>
      <w:r>
        <w:rPr>
          <w:b/>
        </w:rPr>
        <w:t>n'a pas pu être construit</w:t>
      </w:r>
      <w:r>
        <w:t xml:space="preserve"> : il demande de vraies questions, qu'on ne peut pas inventer sans fausser la mesure.</w:t>
      </w:r>
    </w:p>
    <w:p>
      <w:r>
        <w:t xml:space="preserve">Conséquence directe : le classement cours/complément est </w:t>
      </w:r>
      <w:r>
        <w:rPr>
          <w:b/>
        </w:rPr>
        <w:t>prouvé juste</w:t>
      </w:r>
      <w:r>
        <w:t xml:space="preserve"> (0 faux positif sur 2 564 morceaux), mais le fait que remonter le cours en tête </w:t>
      </w:r>
      <w:r>
        <w:rPr>
          <w:b/>
        </w:rPr>
        <w:t>améliore les réponses</w:t>
      </w:r>
      <w:r>
        <w:t xml:space="preserve"> reste une hypothèse raisonnable, pas un résultat.</w:t>
      </w:r>
    </w:p>
    <w:p>
      <w:r>
        <w:t xml:space="preserve">Le plan le disait déjà : </w:t>
      </w:r>
      <w:r>
        <w:rPr>
          <w:i/>
        </w:rPr>
        <w:t>« sans cette mesure, tous les arbitrages RAG resteront des opinions invérifiables. »</w:t>
      </w:r>
      <w:r>
        <w:t xml:space="preserve"> C'est le point qui demande une contribution humaine — un enseignant, ou les questions réellement posées par des élèves.</w:t>
      </w:r>
    </w:p>
    <w:p>
      <w:pPr>
        <w:pBdr>
          <w:bottom w:val="single" w:sz="6" w:space="1" w:color="CCCCCC"/>
        </w:pBdr>
        <w:spacing w:after="160"/>
      </w:pPr>
    </w:p>
    <w:p>
      <w:r>
        <w:br w:type="page"/>
      </w:r>
    </w:p>
    <w:p>
      <w:pPr>
        <w:pStyle w:val="Heading1"/>
      </w:pPr>
      <w:r>
        <w:t>8. Ce qui reste à faire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Quoi</w:t>
            </w:r>
          </w:p>
        </w:tc>
        <w:tc>
          <w:tcPr>
            <w:tcW w:type="dxa" w:w="3249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Qui</w:t>
            </w:r>
          </w:p>
        </w:tc>
        <w:tc>
          <w:tcPr>
            <w:tcW w:type="dxa" w:w="3249"/>
          </w:tcPr>
          <w:p>
            <w:pPr>
              <w:spacing w:after="40" w:before="40"/>
              <w:shd w:val="clear" w:fill="E8EDF3"/>
            </w:pPr>
            <w:r/>
            <w:r>
              <w:rPr>
                <w:b/>
                <w:sz w:val="18"/>
              </w:rPr>
              <w:t>Remarque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Trancher les sept points du §7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l'équipe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V1 en priorité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Constituer le jeu d'évaluation de recherche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un enseignant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Débloque tous les arbitrages RAG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Ingérer les 103 PDF vers Qdrant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dév. données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Le pipeline est prêt et vérifié ; il faut le serveur et le modèle d'embeddings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Basculer le déploiement vers le frontend Next.js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dév. + décision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5 fichiers ; Next exige un processus Node là où le Vue était statique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Écrans enseignant et parent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v1.1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Le modèle de données est déjà posé — c'était le but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 xml:space="preserve">Archiver </w:t>
            </w:r>
            <w:r>
              <w:rPr>
                <w:rFonts w:ascii="Consolas" w:hAnsi="Consolas"/>
                <w:color w:val="0B3D91"/>
                <w:sz w:val="18"/>
              </w:rPr>
              <w:t>nuru-binta</w:t>
            </w:r>
            <w:r>
              <w:rPr>
                <w:sz w:val="18"/>
              </w:rPr>
              <w:t xml:space="preserve"> en lecture seule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sz w:val="18"/>
              </w:rPr>
              <w:t>propriétaire du dépôt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sz w:val="18"/>
              </w:rPr>
              <w:t>N'a pas été fait depuis ce dépôt</w:t>
            </w:r>
          </w:p>
        </w:tc>
      </w:tr>
    </w:tbl>
    <w:p>
      <w:pPr>
        <w:spacing w:after="80"/>
      </w:pPr>
    </w:p>
    <w:p>
      <w:pPr>
        <w:pBdr>
          <w:bottom w:val="single" w:sz="6" w:space="1" w:color="CCCCCC"/>
        </w:pBdr>
        <w:spacing w:after="160"/>
      </w:pPr>
    </w:p>
    <w:p>
      <w:r>
        <w:br w:type="page"/>
      </w:r>
    </w:p>
    <w:p>
      <w:pPr>
        <w:pStyle w:val="Heading1"/>
      </w:pPr>
      <w:r>
        <w:t>9. Ce qu'il faut retenir de la méthode</w:t>
      </w:r>
    </w:p>
    <w:p>
      <w:r>
        <w:t>Trois habitudes ont produit l'essentiel de la valeur, et méritent d'être conservées après la fusion :</w:t>
      </w:r>
    </w:p>
    <w:p>
      <w:pPr>
        <w:pStyle w:val="ListNumber"/>
        <w:spacing w:after="40"/>
      </w:pPr>
      <w:r>
        <w:rPr>
          <w:b/>
        </w:rPr>
        <w:t>Un module à la fois</w:t>
      </w:r>
      <w:r>
        <w:t>, jamais de fusion en bloc. Chaque module se termine</w:t>
      </w:r>
    </w:p>
    <w:p>
      <w:r>
        <w:t>par une suite de tests verte et une entrée de journal.</w:t>
      </w:r>
    </w:p>
    <w:p>
      <w:pPr>
        <w:pStyle w:val="ListNumber"/>
        <w:spacing w:after="40"/>
      </w:pPr>
      <w:r>
        <w:rPr>
          <w:b/>
        </w:rPr>
        <w:t>Vérifier contre l'infrastructure réelle</w:t>
      </w:r>
      <w:r>
        <w:t>, pas seulement par des tests</w:t>
      </w:r>
    </w:p>
    <w:p>
      <w:r>
        <w:t>unitaires. Les cinq défauts trouvés viennent tous de là : les 103 PDF, une vraie base, un vrai serveur.</w:t>
      </w:r>
    </w:p>
    <w:p>
      <w:pPr>
        <w:pStyle w:val="ListNumber"/>
        <w:spacing w:after="40"/>
      </w:pPr>
      <w:r>
        <w:rPr>
          <w:b/>
        </w:rPr>
        <w:t>Ne rien trancher seul</w:t>
      </w:r>
      <w:r>
        <w:t xml:space="preserve"> sur un point non prévu. Sept questions sont</w:t>
      </w:r>
    </w:p>
    <w:p>
      <w:r>
        <w:t>remontées avec leurs options et un avis argumenté, plutôt que décidées en silence.</w:t>
      </w:r>
    </w:p>
    <w:p>
      <w:r>
        <w:t xml:space="preserve">Le nombre de tests n'a jamais diminué : </w:t>
      </w:r>
      <w:r>
        <w:rPr>
          <w:b/>
        </w:rPr>
        <w:t>145 → 413</w:t>
      </w:r>
      <w:r>
        <w:t>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fldBegin w:fldCharType="begin"/>
      <w:instrText xml:space="preserve"> PAGE </w:instrText>
      <w:fldEnd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