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status memo</w:t>
      </w:r>
    </w:p>
    <w:p>
      <w:r>
        <w:t>Dana Ruiz, 2024-03-07.</w:t>
      </w:r>
    </w:p>
    <w:p>
      <w:r>
        <w:t>The March payment delay was caused by an OrbitalNet regional outage.</w:t>
      </w:r>
    </w:p>
    <w:p>
      <w:r>
        <w:t>The ledger-service was not modified in March and the internal deploy is unrelated.</w:t>
      </w:r>
    </w:p>
    <w:p>
      <w:r>
        <w:t>Checkout traffic should be treated as an external card-network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