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用户可以根据自己需要选择不同级别的星光卡（下称星光卡）。购买星光卡后，在生效期间内，所有分析研究与高水平对弈均享受购买星光卡后所享受的折扣。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用户在购买星光卡同时，会获得相应的赠送时长。在星光卡生效期间，使用赠送时长相应的配置时，会优先使用赠送时长。（赠送时长以分钟为单位，不满1分钟的部分按1分钟扣除）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星光卡享受折扣、价格及赠送时长如下表。</w:t>
      </w:r>
    </w:p>
    <w:tbl>
      <w:tblPr>
        <w:tblStyle w:val="2"/>
        <w:tblpPr w:leftFromText="180" w:rightFromText="180" w:vertAnchor="text" w:horzAnchor="page" w:tblpX="736" w:tblpY="36"/>
        <w:tblOverlap w:val="never"/>
        <w:tblW w:w="10437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018"/>
        <w:gridCol w:w="2037"/>
        <w:gridCol w:w="2109"/>
        <w:gridCol w:w="2183"/>
        <w:gridCol w:w="10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星光卡等级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银卡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金卡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白金卡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钻石卡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黑金卡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购买星光卡后享受折扣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9.5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8.5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单月价格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98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188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包年价格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980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1880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3280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赠送时长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450分钟（3x）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800分钟（3x）或450分钟（6x）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900分钟（6x）或450分钟（12x）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900分钟（12x）或450分钟（24x）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900分钟（24x）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单月星光卡开通立即生效，一切优惠以星光卡生效时间以及使用星阵产品的开始时间为准。</w:t>
      </w:r>
      <w:bookmarkStart w:id="0" w:name="_GoBack"/>
      <w:bookmarkEnd w:id="0"/>
      <w:r>
        <w:rPr>
          <w:rFonts w:hint="eastAsia"/>
          <w:lang w:val="en-US" w:eastAsia="zh-CN"/>
        </w:rPr>
        <w:t>办理单月星光卡，在每月1至28日开通的，次月相同日期的0：00：00星光卡到期；在每月29日、30日、31日开通的，下下月的1日0：00：00星光卡到期。星光卡到期后如不续费将不再享受折扣以及赠送的时长。（例：5月5日开通单月星光卡，则6月5日0：00：00星光卡到期；7月30日开通单月星光卡，则9月1日0：00：00星光卡到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年星光卡开通立即生效，办理包年星光卡，视为连续办理12个月的单月星光卡。在每月1至28日开通的，次月开始每月相同日期的0：00：00星光卡交割，未用完的赠送时长作废，使用新一月的赠送时长；在每月29日、30日、31日开通的，从下下月开始的每月1日0：00：00星光卡交割，未用完的赠送时长作废，使用新一月的赠送时长。第12次交割之后星光卡到期，如不续费将不再享受折扣。（例：2020年5月5日开通包年星光卡，则2020年6月5日0：00：00星光卡第一次交割，2020年7月5日0：00：00星光卡第二次交割，以此类推，2021年5月5日0：00：00星光卡到期；2020年7月30日开通包年星光卡，则2020年9月1日0：00：00星光卡第一次交割，2020年10月1日0：00：00星光卡第二次交割，以此类推，2021年8月1日0：00：00到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星光卡到期前15天，用户可以提前预定下一周期的星光卡（只允许预定下一个周期的星光卡）。有预定的情况下在星光卡到期后预定的星光卡自动生效。预定的星光卡生效前可以取消，取消后的金额将退回到账户余额。（目前请联系客服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光卡生效后不可以取消。开通包年优惠的用户可以选择将未生效的月份星光卡进行升级，升级需要按照单月价格补交剩余月份的差价。升级之后在下一交割日开始生效。（例：在使用银卡第4个月期间，用户选择将银卡升级为白金卡，则需按单月补交8个月的差价，即（188元-58元）*8=1040元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关于星光卡有任何问题请联系客服咨询。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本活动最终解释权归星阵围棋所有。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91394"/>
    <w:rsid w:val="53BF01C3"/>
    <w:rsid w:val="59291394"/>
    <w:rsid w:val="5E8D28B6"/>
    <w:rsid w:val="74B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2019-12-26T03:42:00Z</dcterms:created>
  <dc:creator>j'aime manger</dc:creator>
  <cp:lastModifiedBy>j'aime manger</cp:lastModifiedBy>
  <dcterms:modified xsi:type="dcterms:W3CDTF">2020-01-08T04:18:10Z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