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D78E2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HS3D（核酸）下游任务数据集</w:t>
      </w:r>
    </w:p>
    <w:p w14:paraId="4AA3BCA9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- 模态：核酸（DNA）</w:t>
      </w:r>
    </w:p>
    <w:p w14:paraId="31C39757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- 任务类型：二分类</w:t>
      </w:r>
    </w:p>
    <w:p w14:paraId="5281DE5C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- 输出神经元数：1</w:t>
      </w:r>
    </w:p>
    <w:p w14:paraId="5F13F311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- 文件：</w:t>
      </w:r>
    </w:p>
    <w:p w14:paraId="6723BB19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 xml:space="preserve">  - `hs3d_train.csv`：两列 `sequence,label`（A/C/G/T/N；label ∈ {0,1}）</w:t>
      </w:r>
    </w:p>
    <w:p w14:paraId="794E74B9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 xml:space="preserve">  - `hs3d_test.csv`：两列 `sequence,label`</w:t>
      </w:r>
    </w:p>
    <w:p w14:paraId="259F8307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- 指标：AUPRC（主），AUROC / F1 / ACC</w:t>
      </w:r>
    </w:p>
    <w:p w14:paraId="5EAD5566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</w:p>
    <w:p w14:paraId="46CAF579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</w:pPr>
    </w:p>
    <w:p w14:paraId="49643130">
      <w:pP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  <w:lang w:eastAsia="zh-CN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用教师模型（</w:t>
      </w: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"InstaDeepAI/nucleotide-transformer-500m-human-ref"</w:t>
      </w: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</w:rPr>
        <w:t>）的嵌入 X_embed 做统一 DNN 头评测</w:t>
      </w:r>
      <w:r>
        <w:rPr>
          <w:rStyle w:val="5"/>
          <w:rFonts w:hint="default" w:ascii="Times New Roman" w:hAnsi="Times New Roman" w:eastAsia="宋体" w:cs="Times New Roman"/>
          <w:b w:val="0"/>
          <w:bCs/>
          <w:sz w:val="21"/>
          <w:szCs w:val="21"/>
          <w:lang w:eastAsia="zh-CN"/>
        </w:rPr>
        <w:t>：</w:t>
      </w:r>
    </w:p>
    <w:tbl>
      <w:tblPr>
        <w:tblStyle w:val="3"/>
        <w:tblW w:w="9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99"/>
        <w:gridCol w:w="1041"/>
        <w:gridCol w:w="1234"/>
        <w:gridCol w:w="1222"/>
        <w:gridCol w:w="1144"/>
        <w:gridCol w:w="675"/>
        <w:gridCol w:w="644"/>
        <w:gridCol w:w="1440"/>
        <w:gridCol w:w="1141"/>
      </w:tblGrid>
      <w:tr w14:paraId="2B5AA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1" w:hRule="atLeast"/>
        </w:trPr>
        <w:tc>
          <w:tcPr>
            <w:tcW w:w="1199" w:type="dxa"/>
          </w:tcPr>
          <w:p w14:paraId="716CE575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输入来源（教师嵌入 X_embed）</w:t>
            </w:r>
          </w:p>
        </w:tc>
        <w:tc>
          <w:tcPr>
            <w:tcW w:w="1041" w:type="dxa"/>
          </w:tcPr>
          <w:p w14:paraId="366EDD0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输入维度 D</w:t>
            </w:r>
          </w:p>
        </w:tc>
        <w:tc>
          <w:tcPr>
            <w:tcW w:w="1234" w:type="dxa"/>
          </w:tcPr>
          <w:p w14:paraId="568CF197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pos_weight≈Neg/Pos</w:t>
            </w:r>
          </w:p>
        </w:tc>
        <w:tc>
          <w:tcPr>
            <w:tcW w:w="1222" w:type="dxa"/>
          </w:tcPr>
          <w:p w14:paraId="7CAC4B3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Test 集 </w:t>
            </w: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</w:rPr>
              <w:t>AUPRC</w:t>
            </w:r>
          </w:p>
        </w:tc>
        <w:tc>
          <w:tcPr>
            <w:tcW w:w="1144" w:type="dxa"/>
          </w:tcPr>
          <w:p w14:paraId="0F1E7339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Test 集 </w:t>
            </w: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</w:rPr>
              <w:t>AUROC</w:t>
            </w:r>
          </w:p>
        </w:tc>
        <w:tc>
          <w:tcPr>
            <w:tcW w:w="675" w:type="dxa"/>
          </w:tcPr>
          <w:p w14:paraId="708CFD1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F1</w:t>
            </w:r>
          </w:p>
        </w:tc>
        <w:tc>
          <w:tcPr>
            <w:tcW w:w="644" w:type="dxa"/>
          </w:tcPr>
          <w:p w14:paraId="31CA9C9D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ACC</w:t>
            </w:r>
          </w:p>
        </w:tc>
        <w:tc>
          <w:tcPr>
            <w:tcW w:w="1440" w:type="dxa"/>
          </w:tcPr>
          <w:p w14:paraId="277AEC35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最佳验证 AUPRC 所在 </w:t>
            </w: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</w:rPr>
              <w:t>Epoch</w:t>
            </w:r>
          </w:p>
        </w:tc>
        <w:tc>
          <w:tcPr>
            <w:tcW w:w="1141" w:type="dxa"/>
          </w:tcPr>
          <w:p w14:paraId="6DFF934F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训练时长</w:t>
            </w:r>
          </w:p>
        </w:tc>
      </w:tr>
      <w:tr w14:paraId="0D99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99" w:type="dxa"/>
          </w:tcPr>
          <w:p w14:paraId="4D46FAAE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</w:rPr>
              <w:t>Teacher</w:t>
            </w:r>
          </w:p>
        </w:tc>
        <w:tc>
          <w:tcPr>
            <w:tcW w:w="1041" w:type="dxa"/>
          </w:tcPr>
          <w:p w14:paraId="2608ADA2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</w:rPr>
              <w:t>1280</w:t>
            </w:r>
          </w:p>
        </w:tc>
        <w:tc>
          <w:tcPr>
            <w:tcW w:w="1234" w:type="dxa"/>
          </w:tcPr>
          <w:p w14:paraId="473518E9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</w:rPr>
              <w:t>105.9</w:t>
            </w:r>
          </w:p>
        </w:tc>
        <w:tc>
          <w:tcPr>
            <w:tcW w:w="1222" w:type="dxa"/>
          </w:tcPr>
          <w:p w14:paraId="3B26AFE9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</w:rPr>
              <w:t>0.0566</w:t>
            </w:r>
          </w:p>
        </w:tc>
        <w:tc>
          <w:tcPr>
            <w:tcW w:w="1144" w:type="dxa"/>
          </w:tcPr>
          <w:p w14:paraId="0C25855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</w:rPr>
              <w:t>0.8090</w:t>
            </w:r>
          </w:p>
        </w:tc>
        <w:tc>
          <w:tcPr>
            <w:tcW w:w="675" w:type="dxa"/>
          </w:tcPr>
          <w:p w14:paraId="437855FA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</w:rPr>
              <w:t>0.1172</w:t>
            </w:r>
          </w:p>
        </w:tc>
        <w:tc>
          <w:tcPr>
            <w:tcW w:w="644" w:type="dxa"/>
          </w:tcPr>
          <w:p w14:paraId="4BF2B135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</w:rPr>
              <w:t>0.9834</w:t>
            </w:r>
          </w:p>
        </w:tc>
        <w:tc>
          <w:tcPr>
            <w:tcW w:w="1440" w:type="dxa"/>
          </w:tcPr>
          <w:p w14:paraId="03639DCA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5"/>
                <w:szCs w:val="15"/>
              </w:rPr>
              <w:t>28</w:t>
            </w:r>
          </w:p>
        </w:tc>
        <w:tc>
          <w:tcPr>
            <w:tcW w:w="1141" w:type="dxa"/>
          </w:tcPr>
          <w:p w14:paraId="286D26A5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5"/>
                <w:szCs w:val="15"/>
                <w:vertAlign w:val="baseline"/>
                <w:lang w:val="en-US" w:eastAsia="zh-CN"/>
              </w:rPr>
              <w:t>7h</w:t>
            </w:r>
          </w:p>
        </w:tc>
      </w:tr>
    </w:tbl>
    <w:p w14:paraId="63E98D12">
      <w:pPr>
        <w:rPr>
          <w:rStyle w:val="5"/>
          <w:rFonts w:hint="eastAsia" w:ascii="宋体" w:hAnsi="宋体" w:eastAsia="宋体" w:cs="宋体"/>
          <w:sz w:val="24"/>
          <w:szCs w:val="24"/>
          <w:lang w:eastAsia="zh-CN"/>
        </w:rPr>
      </w:pPr>
    </w:p>
    <w:p w14:paraId="687573D0">
      <w:pP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E88442">
      <w:pP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C85BA0"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核酸下游任务合集：</w:t>
      </w:r>
    </w:p>
    <w:tbl>
      <w:tblPr>
        <w:tblStyle w:val="3"/>
        <w:tblW w:w="9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1"/>
        <w:gridCol w:w="1213"/>
        <w:gridCol w:w="1151"/>
        <w:gridCol w:w="1476"/>
        <w:gridCol w:w="837"/>
        <w:gridCol w:w="1656"/>
        <w:gridCol w:w="2266"/>
      </w:tblGrid>
      <w:tr w14:paraId="60D1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1" w:type="dxa"/>
          </w:tcPr>
          <w:p w14:paraId="0DE2226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37A3CB26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任务</w:t>
            </w:r>
          </w:p>
        </w:tc>
        <w:tc>
          <w:tcPr>
            <w:tcW w:w="1151" w:type="dxa"/>
          </w:tcPr>
          <w:p w14:paraId="3ED86B3D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类型</w:t>
            </w:r>
          </w:p>
        </w:tc>
        <w:tc>
          <w:tcPr>
            <w:tcW w:w="1476" w:type="dxa"/>
          </w:tcPr>
          <w:p w14:paraId="0122F5E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输出神经元数</w:t>
            </w:r>
          </w:p>
        </w:tc>
        <w:tc>
          <w:tcPr>
            <w:tcW w:w="837" w:type="dxa"/>
          </w:tcPr>
          <w:p w14:paraId="3F91FB59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窗口</w:t>
            </w:r>
          </w:p>
        </w:tc>
        <w:tc>
          <w:tcPr>
            <w:tcW w:w="1656" w:type="dxa"/>
          </w:tcPr>
          <w:p w14:paraId="5F2B5C2D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指标</w:t>
            </w:r>
          </w:p>
        </w:tc>
        <w:tc>
          <w:tcPr>
            <w:tcW w:w="2266" w:type="dxa"/>
          </w:tcPr>
          <w:p w14:paraId="194215D2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说明</w:t>
            </w:r>
          </w:p>
        </w:tc>
      </w:tr>
      <w:tr w14:paraId="1B74C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1" w:type="dxa"/>
          </w:tcPr>
          <w:p w14:paraId="30B3FA17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213" w:type="dxa"/>
          </w:tcPr>
          <w:p w14:paraId="52CA96E8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HS3D（剪接位点：正/负）</w:t>
            </w:r>
          </w:p>
        </w:tc>
        <w:tc>
          <w:tcPr>
            <w:tcW w:w="1151" w:type="dxa"/>
          </w:tcPr>
          <w:p w14:paraId="2AD8ADFA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二分类</w:t>
            </w:r>
          </w:p>
        </w:tc>
        <w:tc>
          <w:tcPr>
            <w:tcW w:w="1476" w:type="dxa"/>
          </w:tcPr>
          <w:p w14:paraId="538B4AF0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37" w:type="dxa"/>
          </w:tcPr>
          <w:p w14:paraId="5B0AEEC4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140 bp</w:t>
            </w:r>
          </w:p>
        </w:tc>
        <w:tc>
          <w:tcPr>
            <w:tcW w:w="1656" w:type="dxa"/>
          </w:tcPr>
          <w:p w14:paraId="4DFD9E70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</w:rPr>
              <w:t>AUPRC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（主）、AUROC/F1/ACC</w:t>
            </w:r>
          </w:p>
        </w:tc>
        <w:tc>
          <w:tcPr>
            <w:tcW w:w="2266" w:type="dxa"/>
          </w:tcPr>
          <w:p w14:paraId="3A063996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正例为真实 donor/acceptor 周围 140 bp 片段</w:t>
            </w:r>
          </w:p>
        </w:tc>
      </w:tr>
      <w:tr w14:paraId="2834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1" w:type="dxa"/>
          </w:tcPr>
          <w:p w14:paraId="399FA452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213" w:type="dxa"/>
          </w:tcPr>
          <w:p w14:paraId="2E351B3A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Splice donor（供体）</w:t>
            </w:r>
          </w:p>
        </w:tc>
        <w:tc>
          <w:tcPr>
            <w:tcW w:w="1151" w:type="dxa"/>
          </w:tcPr>
          <w:p w14:paraId="4A597188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二分类</w:t>
            </w:r>
          </w:p>
        </w:tc>
        <w:tc>
          <w:tcPr>
            <w:tcW w:w="1476" w:type="dxa"/>
          </w:tcPr>
          <w:p w14:paraId="75BC881E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37" w:type="dxa"/>
          </w:tcPr>
          <w:p w14:paraId="43C8A979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600 bp</w:t>
            </w:r>
          </w:p>
        </w:tc>
        <w:tc>
          <w:tcPr>
            <w:tcW w:w="1656" w:type="dxa"/>
          </w:tcPr>
          <w:p w14:paraId="212C5FB0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AUPRC、AUROC</w:t>
            </w:r>
          </w:p>
        </w:tc>
        <w:tc>
          <w:tcPr>
            <w:tcW w:w="2266" w:type="dxa"/>
          </w:tcPr>
          <w:p w14:paraId="0004D28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与1类型近似，但窗口更长、规模更大</w:t>
            </w:r>
          </w:p>
        </w:tc>
      </w:tr>
      <w:tr w14:paraId="06A5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1" w:type="dxa"/>
          </w:tcPr>
          <w:p w14:paraId="0DDBD896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213" w:type="dxa"/>
          </w:tcPr>
          <w:p w14:paraId="6633D4D3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Splice acceptor（受体）</w:t>
            </w:r>
          </w:p>
        </w:tc>
        <w:tc>
          <w:tcPr>
            <w:tcW w:w="1151" w:type="dxa"/>
          </w:tcPr>
          <w:p w14:paraId="6CA74AE1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二分类</w:t>
            </w:r>
          </w:p>
        </w:tc>
        <w:tc>
          <w:tcPr>
            <w:tcW w:w="1476" w:type="dxa"/>
          </w:tcPr>
          <w:p w14:paraId="39ED4CD9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37" w:type="dxa"/>
          </w:tcPr>
          <w:p w14:paraId="458D121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600 bp</w:t>
            </w:r>
          </w:p>
        </w:tc>
        <w:tc>
          <w:tcPr>
            <w:tcW w:w="1656" w:type="dxa"/>
          </w:tcPr>
          <w:p w14:paraId="4FC4B4F1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AUPRC、AUROC</w:t>
            </w:r>
          </w:p>
        </w:tc>
        <w:tc>
          <w:tcPr>
            <w:tcW w:w="2266" w:type="dxa"/>
          </w:tcPr>
          <w:p w14:paraId="061D28B3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与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配套，二者一起能覆盖剪接两类位点</w:t>
            </w:r>
          </w:p>
        </w:tc>
      </w:tr>
      <w:tr w14:paraId="7987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1" w:type="dxa"/>
          </w:tcPr>
          <w:p w14:paraId="4B36049B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213" w:type="dxa"/>
          </w:tcPr>
          <w:p w14:paraId="52F8E5EF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Promoter presence（启动子检测）</w:t>
            </w:r>
          </w:p>
        </w:tc>
        <w:tc>
          <w:tcPr>
            <w:tcW w:w="1151" w:type="dxa"/>
          </w:tcPr>
          <w:p w14:paraId="5BA4162A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二分类</w:t>
            </w:r>
          </w:p>
        </w:tc>
        <w:tc>
          <w:tcPr>
            <w:tcW w:w="1476" w:type="dxa"/>
          </w:tcPr>
          <w:p w14:paraId="6FBAD06E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37" w:type="dxa"/>
          </w:tcPr>
          <w:p w14:paraId="01E6C706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300 bp</w:t>
            </w:r>
          </w:p>
        </w:tc>
        <w:tc>
          <w:tcPr>
            <w:tcW w:w="1656" w:type="dxa"/>
          </w:tcPr>
          <w:p w14:paraId="1FE34DAE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AUPRC、AUROC</w:t>
            </w:r>
          </w:p>
        </w:tc>
        <w:tc>
          <w:tcPr>
            <w:tcW w:w="2266" w:type="dxa"/>
          </w:tcPr>
          <w:p w14:paraId="1DC00A56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有 TATA/非 TATA 子集可扩展</w:t>
            </w:r>
          </w:p>
        </w:tc>
      </w:tr>
      <w:tr w14:paraId="5735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41" w:type="dxa"/>
          </w:tcPr>
          <w:p w14:paraId="3AC8305E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213" w:type="dxa"/>
          </w:tcPr>
          <w:p w14:paraId="58D43EDE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Enhancer presence（增强子检测）</w:t>
            </w:r>
          </w:p>
        </w:tc>
        <w:tc>
          <w:tcPr>
            <w:tcW w:w="1151" w:type="dxa"/>
          </w:tcPr>
          <w:p w14:paraId="156A3D43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二分类</w:t>
            </w:r>
          </w:p>
        </w:tc>
        <w:tc>
          <w:tcPr>
            <w:tcW w:w="1476" w:type="dxa"/>
          </w:tcPr>
          <w:p w14:paraId="37130EC1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837" w:type="dxa"/>
          </w:tcPr>
          <w:p w14:paraId="17DCF6EC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300 bp</w:t>
            </w:r>
          </w:p>
        </w:tc>
        <w:tc>
          <w:tcPr>
            <w:tcW w:w="1656" w:type="dxa"/>
          </w:tcPr>
          <w:p w14:paraId="5512E3ED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AUPRC、AUROC</w:t>
            </w:r>
          </w:p>
        </w:tc>
        <w:tc>
          <w:tcPr>
            <w:tcW w:w="2266" w:type="dxa"/>
          </w:tcPr>
          <w:p w14:paraId="5225316B">
            <w:pPr>
              <w:jc w:val="center"/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含增强子二分类/多类版本；先做二分类即可快速对齐。</w:t>
            </w:r>
          </w:p>
        </w:tc>
      </w:tr>
    </w:tbl>
    <w:p w14:paraId="52395F9F">
      <w:pP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F39EC6">
      <w:pP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B3D10D">
      <w:p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教师模型特征文件（DNN输入</w:t>
      </w:r>
      <w:bookmarkStart w:id="0" w:name="_GoBack"/>
      <w:bookmarkEnd w:id="0"/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）：</w:t>
      </w:r>
    </w:p>
    <w:p w14:paraId="740AD8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X_embed_train.npy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对 </w:t>
      </w:r>
      <w:r>
        <w:rPr>
          <w:rStyle w:val="5"/>
          <w:rFonts w:ascii="宋体" w:hAnsi="宋体" w:eastAsia="宋体" w:cs="宋体"/>
          <w:sz w:val="24"/>
          <w:szCs w:val="24"/>
        </w:rPr>
        <w:t>hs3d_train.csv</w:t>
      </w:r>
      <w:r>
        <w:rPr>
          <w:rFonts w:ascii="宋体" w:hAnsi="宋体" w:eastAsia="宋体" w:cs="宋体"/>
          <w:sz w:val="24"/>
          <w:szCs w:val="24"/>
        </w:rPr>
        <w:t xml:space="preserve"> 每一行序列的向量堆成的矩阵，形如 </w:t>
      </w:r>
      <w:r>
        <w:rPr>
          <w:rStyle w:val="6"/>
          <w:rFonts w:ascii="宋体" w:hAnsi="宋体" w:eastAsia="宋体" w:cs="宋体"/>
          <w:sz w:val="24"/>
          <w:szCs w:val="24"/>
        </w:rPr>
        <w:t>(N_train, 1280)</w:t>
      </w:r>
    </w:p>
    <w:p w14:paraId="5C6627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X_embed_test.npy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对 </w:t>
      </w:r>
      <w:r>
        <w:rPr>
          <w:rStyle w:val="5"/>
          <w:rFonts w:ascii="宋体" w:hAnsi="宋体" w:eastAsia="宋体" w:cs="宋体"/>
          <w:sz w:val="24"/>
          <w:szCs w:val="24"/>
        </w:rPr>
        <w:t>hs3d_test.csv</w:t>
      </w:r>
      <w:r>
        <w:rPr>
          <w:rFonts w:ascii="宋体" w:hAnsi="宋体" w:eastAsia="宋体" w:cs="宋体"/>
          <w:sz w:val="24"/>
          <w:szCs w:val="24"/>
        </w:rPr>
        <w:t xml:space="preserve"> 每一行序列的向量，形如 </w:t>
      </w:r>
      <w:r>
        <w:rPr>
          <w:rStyle w:val="6"/>
          <w:rFonts w:ascii="宋体" w:hAnsi="宋体" w:eastAsia="宋体" w:cs="宋体"/>
          <w:sz w:val="24"/>
          <w:szCs w:val="24"/>
        </w:rPr>
        <w:t>(N_test, 1280)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70364"/>
    <w:rsid w:val="5ED7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2025-11-11T00:26:00Z</dcterms:created>
  <dc:creator>WPS_1688349113</dc:creator>
  <cp:lastModifiedBy>WPS_1688349113</cp:lastModifiedBy>
  <dcterms:modified xsi:type="dcterms:W3CDTF">2025-11-11T00:59:09Z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F443521D4C214A33AE887C4D0987E820_11</vt:lpwstr>
  </property>
  <property fmtid="{D5CDD505-2E9C-101B-9397-08002B2CF9AE}" pid="4" name="KSOTemplateDocerSaveRecord">
    <vt:lpwstr>eyJoZGlkIjoiZGI0NDNiNmViZWFlMWM1ZDNjY2QwOGU4NDMyZGVjMjEiLCJ1c2VySWQiOiIxNTEwMTY3MDkzIn0=</vt:lpwstr>
  </property>
</Properties>
</file>