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40" w:after="80"/>
      </w:pPr>
      <w:r>
        <w:rPr>
          <w:rFonts w:ascii="Calibri" w:hAnsi="Calibri" w:eastAsia="Microsoft YaHei"/>
          <w:b/>
          <w:color w:val="000000"/>
          <w:sz w:val="46"/>
        </w:rPr>
        <w:t>研究阶段进展汇报</w:t>
      </w:r>
    </w:p>
    <w:p>
      <w:pPr>
        <w:widowControl/>
        <w:spacing w:after="280"/>
      </w:pPr>
      <w:r>
        <w:rPr>
          <w:rFonts w:ascii="Calibri" w:hAnsi="Calibri" w:eastAsia="Microsoft YaHei"/>
          <w:color w:val="373737"/>
          <w:sz w:val="28"/>
        </w:rPr>
        <w:t>图遗忘攻击研究 · 2026 年 7 月 22 日会议后至 8 月 26 日</w:t>
      </w:r>
    </w:p>
    <w:p>
      <w:pPr>
        <w:widowControl/>
        <w:spacing w:after="40"/>
      </w:pPr>
      <w:r>
        <w:rPr>
          <w:rFonts w:ascii="Calibri" w:hAnsi="Calibri" w:eastAsia="Microsoft YaHei"/>
          <w:b/>
          <w:sz w:val="21"/>
        </w:rPr>
        <w:t>致：</w:t>
      </w:r>
      <w:r>
        <w:rPr>
          <w:rFonts w:ascii="Calibri" w:hAnsi="Calibri" w:eastAsia="Microsoft YaHei"/>
          <w:sz w:val="21"/>
        </w:rPr>
        <w:t>导师</w:t>
      </w:r>
    </w:p>
    <w:p>
      <w:pPr>
        <w:widowControl/>
        <w:spacing w:after="40"/>
      </w:pPr>
      <w:r>
        <w:rPr>
          <w:rFonts w:ascii="Calibri" w:hAnsi="Calibri" w:eastAsia="Microsoft YaHei"/>
          <w:b/>
          <w:sz w:val="21"/>
        </w:rPr>
        <w:t>汇报人：</w:t>
      </w:r>
      <w:r>
        <w:rPr>
          <w:rFonts w:ascii="Calibri" w:hAnsi="Calibri" w:eastAsia="Microsoft YaHei"/>
          <w:sz w:val="21"/>
        </w:rPr>
        <w:t>刘丞毓</w:t>
      </w:r>
    </w:p>
    <w:p>
      <w:pPr>
        <w:widowControl/>
        <w:spacing w:after="40"/>
      </w:pPr>
      <w:r>
        <w:rPr>
          <w:rFonts w:ascii="Calibri" w:hAnsi="Calibri" w:eastAsia="Microsoft YaHei"/>
          <w:b/>
          <w:sz w:val="21"/>
        </w:rPr>
        <w:t>文档性质：</w:t>
      </w:r>
      <w:r>
        <w:rPr>
          <w:rFonts w:ascii="Calibri" w:hAnsi="Calibri" w:eastAsia="Microsoft YaHei"/>
          <w:sz w:val="21"/>
        </w:rPr>
        <w:t>书面阶段进展材料</w:t>
      </w:r>
    </w:p>
    <w:p>
      <w:pPr>
        <w:widowControl/>
        <w:spacing w:after="40"/>
      </w:pPr>
      <w:r>
        <w:rPr>
          <w:rFonts w:ascii="Calibri" w:hAnsi="Calibri" w:eastAsia="Microsoft YaHei"/>
          <w:b/>
          <w:sz w:val="21"/>
        </w:rPr>
        <w:t>当前基线：</w:t>
      </w:r>
      <w:r>
        <w:rPr>
          <w:rFonts w:ascii="Calibri" w:hAnsi="Calibri" w:eastAsia="Microsoft YaHei"/>
          <w:sz w:val="21"/>
        </w:rPr>
        <w:t>本地代码 6be95c7（2026-08-26）</w:t>
      </w:r>
    </w:p>
    <w:p>
      <w:pPr>
        <w:spacing w:after="200"/>
        <w:widowControl/>
        <w:pBdr>
          <w:bottom w:val="single" w:sz="12" w:space="4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9CFE3"/>
          <w:left w:val="single" w:sz="8" w:space="0" w:color="B9CFE3"/>
          <w:bottom w:val="single" w:sz="8" w:space="0" w:color="B9CFE3"/>
          <w:right w:val="single" w:sz="8" w:space="0" w:color="B9CFE3"/>
          <w:insideH w:val="single" w:sz="8" w:space="0" w:color="B9CFE3"/>
          <w:insideV w:val="single" w:sz="8" w:space="0" w:color="B9CF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核心判断｜</w:t>
            </w:r>
            <w:r>
              <w:rPr>
                <w:rFonts w:ascii="Calibri" w:hAnsi="Calibri" w:eastAsia="Microsoft YaHei"/>
                <w:color w:val="0B2545"/>
                <w:sz w:val="22"/>
              </w:rPr>
              <w:t>本次不硬凑新增结果，而是汇报三项实质进展：重新识别 IF 旧矩阵的 surrogate-transfer 身份，总结论文投稿带来的研究收获，并形成下一轮最小实验与写作计划。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1. IF 的代理（surrogate）实验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1.1 关键变化：修正旧矩阵的实验身份</w:t>
      </w:r>
    </w:p>
    <w:p>
      <w:pPr>
        <w:widowControl/>
      </w:pPr>
      <w:r>
        <w:rPr>
          <w:rFonts w:ascii="Calibri" w:hAnsi="Calibri" w:eastAsia="Microsoft YaHei"/>
          <w:sz w:val="22"/>
        </w:rPr>
        <w:t>7 月 22 日会议时，项目已经完成 17 selectors × 3 datasets × 3 seeds 的 GNNDelete 矩阵（153/153 cells、612/612 artifacts）。会后审计发现，selector 来自 GateGCN（hidden=16，200 epochs），GU target 则是 OpenGU GCN（hidden=64，100 epochs），且二者不是同一 checkpoint；旧配置名虽保留 r=0.05，实际每格只删除 k=7 个节点。</w:t>
      </w:r>
    </w:p>
    <w:p>
      <w:pPr>
        <w:widowControl/>
      </w:pPr>
      <w:r>
        <w:rPr>
          <w:rFonts w:ascii="Calibri" w:hAnsi="Calibri" w:eastAsia="Microsoft YaHei"/>
          <w:sz w:val="22"/>
        </w:rPr>
        <w:t>因此，这组结果应定位为 L1 surrogate-transfer / engineering screen：它能说明相关 GCN 模型之间的 IF 选集是否具有迁移迹象，但不能回答严格 white-box 条件下某个 selector 是否优于 random 或 degree。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可以回答</w:t>
            </w:r>
          </w:p>
        </w:tc>
        <w:tc>
          <w:tcPr>
            <w:tcW w:type="dxa" w:w="46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不能回答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IF 排名在相关 GCN 模型间是否具有迁移性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同一 victim checkpoint 上谁优于 random/degree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cheap proxy 是否复现 reference 排名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旧 k=7 是否代表真实 1%/5% budget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迁移选集进入 GU 后是否呈条件性效果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旧 PubMed null 是否具有普遍性</w:t>
            </w:r>
          </w:p>
        </w:tc>
      </w:tr>
    </w:tbl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1.2 旧矩阵仍留下的有效观察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200"/>
        <w:gridCol w:w="3320"/>
        <w:gridCol w:w="3840"/>
      </w:tblGrid>
      <w:tr>
        <w:trPr>
          <w:tblHeader w:val="true"/>
        </w:trPr>
        <w:tc>
          <w:tcPr>
            <w:tcW w:type="dxa" w:w="2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观察</w:t>
            </w:r>
          </w:p>
        </w:tc>
        <w:tc>
          <w:tcPr>
            <w:tcW w:type="dxa" w:w="33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证据</w:t>
            </w:r>
          </w:p>
        </w:tc>
        <w:tc>
          <w:tcPr>
            <w:tcW w:type="dxa" w:w="38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解释边界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proxy fidelity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p_graph ↔ gt_full Spearman = 0.984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cheap proxy 能复现 reference 排名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fidelity ≠ damage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 组相对 random +0.99 pp；degree +2.30 pp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估得准不等于 GU 退化更强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强异质性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IF 信号主要由 Cora 驱动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旧 PubMed k=7 null 不可泛化</w:t>
            </w:r>
          </w:p>
        </w:tc>
      </w:tr>
    </w:tbl>
    <w:p>
      <w:pPr>
        <w:widowControl/>
      </w:pPr>
      <w:r>
        <w:rPr>
          <w:rFonts w:ascii="Calibri" w:hAnsi="Calibri" w:eastAsia="Microsoft YaHei"/>
          <w:sz w:val="22"/>
        </w:rPr>
        <w:t>IF 故事应从“寻找普遍最强 selector”转向两个问题：IF 排名能否跨模型迁移，以及这种迁移能保留多少真实 GU 攻击效果。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1.3 两组代理迁移设计：已规划，未形成正式结果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实验组</w:t>
            </w:r>
          </w:p>
        </w:tc>
        <w:tc>
          <w:tcPr>
            <w:tcW w:type="dxa" w:w="2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迁移关系</w:t>
            </w:r>
          </w:p>
        </w:tc>
        <w:tc>
          <w:tcPr>
            <w:tcW w:type="dxa" w:w="41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主要问题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Group 1｜GCN surrogate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GCN → GAT / GIN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常见 surrogate 能否跨 backbone 保留选集与攻击效果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Group 2｜SGC analytical surrogate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SGC → GCN / GAT / GIN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可分析的 SGC 能否成为稳定 IF surrogate</w:t>
            </w:r>
          </w:p>
        </w:tc>
      </w:tr>
    </w:tbl>
    <w:p>
      <w:pPr>
        <w:widowControl/>
      </w:pPr>
      <w:r>
        <w:rPr>
          <w:rFonts w:ascii="Calibri" w:hAnsi="Calibri" w:eastAsia="Microsoft YaHei"/>
          <w:sz w:val="22"/>
        </w:rPr>
        <w:t>每个 victim 都需要自己的 target-direct white-box reference，并保留 random 与 degree；dataset、split、candidate pool、budget 和 victim checkpoint 固定，只改变 selector 来源。该设计尚未运行正式 GPU matrix，不能报告新的迁移比例。</w:t>
      </w:r>
    </w:p>
    <w:p>
      <w:pPr>
        <w:pStyle w:val="Heading1"/>
        <w:keepNext/>
        <w:pageBreakBefore/>
        <w:widowControl/>
      </w:pPr>
      <w:r>
        <w:rPr>
          <w:rFonts w:ascii="Calibri" w:hAnsi="Calibri" w:eastAsia="Microsoft YaHei"/>
          <w:b/>
          <w:color w:val="2E74B5"/>
          <w:sz w:val="32"/>
        </w:rPr>
        <w:t>2. 从论文投稿与评审中获得了什么</w:t>
      </w:r>
    </w:p>
    <w:p>
      <w:pPr>
        <w:widowControl/>
      </w:pPr>
      <w:r>
        <w:rPr>
          <w:rFonts w:ascii="Calibri" w:hAnsi="Calibri" w:eastAsia="Microsoft YaHei"/>
          <w:sz w:val="22"/>
        </w:rPr>
        <w:t>NeurIPS 投稿的三位评审评分为 1、2、3。评分不理想，但评审并非否定研究问题；他们在不同程度上认可“战略性删除不同于随机删除”的问题或核心经验观察。真正阻碍论文的是证据一致性、威胁模型和主张强度没有与实验覆盖对齐。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880"/>
        <w:gridCol w:w="3240"/>
        <w:gridCol w:w="3240"/>
      </w:tblGrid>
      <w:tr>
        <w:trPr>
          <w:tblHeader w:val="true"/>
        </w:trPr>
        <w:tc>
          <w:tcPr>
            <w:tcW w:type="dxa" w:w="28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评审暴露的问题</w:t>
            </w:r>
          </w:p>
        </w:tc>
        <w:tc>
          <w:tcPr>
            <w:tcW w:type="dxa" w:w="32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研究上的收获</w:t>
            </w:r>
          </w:p>
        </w:tc>
        <w:tc>
          <w:tcPr>
            <w:tcW w:type="dxa" w:w="32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下一版处理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表、图与附录数字不一致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实验身份与来源是可信度的一部分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建立 paper-number ledger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L0/L1/L2 与删除 API 边界不清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white-box、surrogate、black-box 必须分开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明确 checkpoint 与查询权限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普遍更强、immunity 等措辞过强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当前结果支持条件性漏洞而非单一冠军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转向 audit + Vulnerability Fingerprint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Retrain Gap 等指标混用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不同指标不能互相替代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固定定义、方向与引用边界</w:t>
            </w:r>
          </w:p>
        </w:tc>
      </w:tr>
    </w:tbl>
    <w:p>
      <w:pPr>
        <w:widowControl/>
      </w:pPr>
      <w:r>
        <w:rPr>
          <w:rFonts w:ascii="Calibri" w:hAnsi="Calibri" w:eastAsia="Microsoft YaHei"/>
          <w:sz w:val="22"/>
        </w:rPr>
        <w:t>最大的研究收获是：项目价值未必依赖一个在所有数据集上获胜的新 selector，而在于建立一套能够区分攻击者权限、selector 目标、GU operator 与数据 regime 的系统性审计框架。IF 可作为机制探针和可迁移攻击信号；degree 必须作为强控制组。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论文主线的调整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从“普遍更强的 IF selector”调整为“战略性删除的系统审计与条件性 Vulnerability Fingerprint”；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把 selection fidelity、transferability 与 downstream GU damage 分开报告；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所有论文数字只从 accepted evidence set 回填，旧结果在身份修正前不直接进入重投稿。</w:t>
      </w:r>
    </w:p>
    <w:p>
      <w:pPr>
        <w:pStyle w:val="Heading1"/>
        <w:keepNext/>
        <w:pageBreakBefore/>
        <w:widowControl/>
      </w:pPr>
      <w:r>
        <w:rPr>
          <w:rFonts w:ascii="Calibri" w:hAnsi="Calibri" w:eastAsia="Microsoft YaHei"/>
          <w:b/>
          <w:color w:val="2E74B5"/>
          <w:sz w:val="32"/>
        </w:rPr>
        <w:t>3. 下一阶段计划</w:t>
      </w:r>
    </w:p>
    <w:p>
      <w:pPr>
        <w:widowControl/>
      </w:pPr>
      <w:r>
        <w:rPr>
          <w:rFonts w:ascii="Calibri" w:hAnsi="Calibri" w:eastAsia="Microsoft YaHei"/>
          <w:sz w:val="22"/>
        </w:rPr>
        <w:t>下一阶段不直接扩展大矩阵，而按“先定义、再建立 reference、最后验证迁移”的顺序推进。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3.1 立即完成的基础工作</w:t>
      </w:r>
    </w:p>
    <w:p>
      <w:pPr>
        <w:widowControl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  <w:sz w:val="22"/>
        </w:rPr>
        <w:t>统一 Dataset/Split 权威入口。</w:t>
      </w:r>
      <w:r>
        <w:rPr>
          <w:rFonts w:ascii="Calibri" w:hAnsi="Calibri" w:eastAsia="Microsoft YaHei"/>
          <w:sz w:val="22"/>
        </w:rPr>
        <w:t>固定 processed profile、candidate pool、budget 与 Recipe 身份。</w:t>
      </w:r>
    </w:p>
    <w:p>
      <w:pPr>
        <w:widowControl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  <w:sz w:val="22"/>
        </w:rPr>
        <w:t>明确 IF 科学目标。</w:t>
      </w:r>
      <w:r>
        <w:rPr>
          <w:rFonts w:ascii="Calibri" w:hAnsi="Calibri" w:eastAsia="Microsoft YaHei"/>
          <w:sz w:val="22"/>
        </w:rPr>
        <w:t>区分 predictive influence、graph-deletion influence 与 GU-operator vulnerability。</w:t>
      </w:r>
    </w:p>
    <w:p>
      <w:pPr>
        <w:widowControl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B2545"/>
          <w:sz w:val="22"/>
        </w:rPr>
        <w:t>完成 target-direct 与设备 gate。</w:t>
      </w:r>
      <w:r>
        <w:rPr>
          <w:rFonts w:ascii="Calibri" w:hAnsi="Calibri" w:eastAsia="Microsoft YaHei"/>
          <w:sz w:val="22"/>
        </w:rPr>
        <w:t>同一 victim checkpoint 服务于 selector 与 GNNDelete，并核对本地、Git、SSH、GPU 和数据身份。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3.2 最小实验路径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350"/>
        <w:gridCol w:w="3970"/>
        <w:gridCol w:w="3040"/>
      </w:tblGrid>
      <w:tr>
        <w:trPr>
          <w:tblHeader w:val="true"/>
        </w:trPr>
        <w:tc>
          <w:tcPr>
            <w:tcW w:type="dxa" w:w="2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7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最小动作</w:t>
            </w:r>
          </w:p>
        </w:tc>
        <w:tc>
          <w:tcPr>
            <w:tcW w:type="dxa" w:w="30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扩展条件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A｜Target-direct reference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Cora 单 seed、1%/5%；random、degree 与代表 IF/D-GIF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身份完整、结果可重复且能改变判断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B｜Surrogate transfer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GCN→GAT/GIN；SGC→GCN/GAT/GIN 最小 gate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同时报告 overlap、GU outcome 与配对差值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C｜有条件扩矩阵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增加 seeds、datasets，必要时再加 GU family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至少两个 regime 有稳定信号，否则报告负结果</w:t>
            </w:r>
          </w:p>
        </w:tc>
      </w:tr>
    </w:tbl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3.3 同步推进论文重写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收缩 contribution，突出 audit、代理迁移边界与条件性漏洞图谱；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建立 paper-number ledger，旧 TracIn、D-GIF、GraphRevoker 和 Retrain Gap 数字未通过新证据链前不回填；</w:t>
      </w:r>
    </w:p>
    <w:p>
      <w:pPr>
        <w:widowControl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把 selection fidelity、transferability 与 downstream GU damage 分开呈现。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4. 希望导师确认的三个问题</w:t>
      </w:r>
    </w:p>
    <w:p>
      <w:pPr>
        <w:widowControl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是否同意把 IF 部分从“方法优越性”调整为“target-direct reference + surrogate transfer”？</w:t>
      </w:r>
    </w:p>
    <w:p>
      <w:pPr>
        <w:widowControl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是否同意先做最小 target-direct gate，再进入两组 surrogate 实验，而不是立即扩充数据集和 backbone？</w:t>
      </w:r>
    </w:p>
    <w:p>
      <w:pPr>
        <w:widowControl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是否接受论文主线转向 adversarial GU audit 与 Vulnerability Fingerprint，并固定 degree 为强控制组？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一句话总结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9CFE3"/>
          <w:left w:val="single" w:sz="8" w:space="0" w:color="B9CFE3"/>
          <w:bottom w:val="single" w:sz="8" w:space="0" w:color="B9CFE3"/>
          <w:right w:val="single" w:sz="8" w:space="0" w:color="B9CFE3"/>
          <w:insideH w:val="single" w:sz="8" w:space="0" w:color="B9CFE3"/>
          <w:insideV w:val="single" w:sz="8" w:space="0" w:color="B9CF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这段时间的进展不在于新增一张完整结果表，而在于把旧 IF 矩阵放回正确的 surrogate-transfer 语境，从投稿反馈中明确论文真正缺少的证据，并形成可执行的下一轮实验与写作路线。</w:t>
            </w:r>
          </w:p>
        </w:tc>
      </w:tr>
    </w:tbl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证据入口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7 月 22 日会议基线：report/progress/2026-07-22_if-cluster-discussion/REPORT.md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旧矩阵身份复核：reports/target_direct_selection_PREPARATION_REPORT.md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两组 E7 代理迁移：OpenGU-DocMap/10_实验矩阵/24_E7代理选集迁移实验计划.md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NeurIPS 评审汇总：self/neurips_2026_submission21636_reviews.md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当前执行线：self/dashboard/WORKPLAN.md</w:t>
      </w:r>
    </w:p>
    <w:p>
      <w:pPr>
        <w:widowControl/>
        <w:numPr>
          <w:ilvl w:val="0"/>
          <w:numId w:val="10"/>
        </w:numPr>
        <w:spacing w:after="60" w:line="280" w:lineRule="auto"/>
        <w:ind w:left="720" w:hanging="360"/>
      </w:pPr>
      <w:r>
        <w:rPr>
          <w:rFonts w:ascii="Calibri" w:hAnsi="Calibri" w:eastAsia="Microsoft YaHei"/>
          <w:color w:val="666666"/>
          <w:sz w:val="18"/>
        </w:rPr>
        <w:t>D-GIF 修复：.workblock/items/AAGU-018/WORKITEM.md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图遗忘攻击研究阶段进展汇报</dc:title>
  <dc:subject>2026年7月22日会议后至8月26日导师书面阶段汇报</dc:subject>
  <dc:creator>刘丞毓</dc:creator>
  <cp:keywords>graph unlearning, adversarial deletion, advisor update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