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Condiciones de aprobación: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5981700</wp:posOffset>
            </wp:positionH>
            <wp:positionV relativeFrom="paragraph">
              <wp:posOffset>114300</wp:posOffset>
            </wp:positionV>
            <wp:extent cx="658961" cy="6505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961" cy="65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640"/>
        <w:tblGridChange w:id="0">
          <w:tblGrid>
            <w:gridCol w:w="513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8 puntos de 14, 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6.929133858268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recordá: en todas tus respuestas sé puntual, no pierdas el foco de lo que se pregunta. Respuestas en exceso generales son tan malas como respuestas incompletas.</w:t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tdfpsih0aexg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Parte 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.2857142857143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negate x = (-1) * x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.2857142857143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 e lista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 (negate . (e+))  ( filter (5 &lt;) lista 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.2857142857143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¿Cuáles de los siguientes conceptos se observan en la función f? </w:t>
      </w:r>
      <w:r w:rsidDel="00000000" w:rsidR="00000000" w:rsidRPr="00000000">
        <w:rPr>
          <w:rtl w:val="0"/>
        </w:rPr>
        <w:t xml:space="preserve">Indicar todos los lugares donde se están aplicando</w:t>
      </w:r>
      <w:r w:rsidDel="00000000" w:rsidR="00000000" w:rsidRPr="00000000">
        <w:rPr>
          <w:rtl w:val="0"/>
        </w:rPr>
        <w:t xml:space="preserve"> y qué aportan a la solución.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composición de funciones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expresiones lambda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listas por comprensión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aplicación parcial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orden superior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sucede ante las siguientes invocaciones? Justificar.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(f 1 [1..])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 negate (f 1 [1..])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 (f 1 [1..])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tl w:val="0"/>
        </w:rPr>
        <w:t xml:space="preserve">Cuál es el problema de definir el tipo de negate de la siguiente manera? Corregirlo.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negate :: Int-&gt;Int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.2857142857143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bookmarkStart w:colFirst="0" w:colLast="0" w:name="_hxqmkx35dcnl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un sistema para un taller, en el cual se quiere saber cuáles de las mesas que tienen son fuertes</w:t>
      </w:r>
      <w:r w:rsidDel="00000000" w:rsidR="00000000" w:rsidRPr="00000000">
        <w:rPr>
          <w:rtl w:val="0"/>
        </w:rPr>
        <w:t xml:space="preserve">, se tiene la siguiente implementación para saber si una mesa efectivamente es fuerte (se asume que el material está correctamente implementado):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#Mesa (V.I.: patas, material)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esFuerte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self esDeMaterialResistente and: [self enMalEstado not]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esDeMaterialResistente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^material esResistente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enMalEstado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patas = 3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Ahora se le agregan nuevos objetos que representan a mesas de trabajo, que tienen más requisitos para ser consideradas fuertes y trabajar sobre ellas. En particular, se debe validar que la tabla sea lisa.  Se propone agregar lo siguiente a la solución: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#MesaDeTrabajo (subclase de Mesa) vi: tabla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esFuerteDeTrabajo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(self esDeMaterialResistente and: [self enMalEstado not]) and: [tabla lisa]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 asume que hay un método llamado lisa que está definido para las tablas)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desarrollador que planteó la solución justifica: "La solución funciona correctamente y no tuve que tocar nada de lo hecho anteriormente sino sólo agregar código. La herencia fue útil, ya que los objetos de MesaDeTrabajo entienden los métodos esDeMaterialResistente y enMalEstado sin que los vuelva a definir". ¿Es cierto lo que dice? Justificar.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margen de lo anterior, ¿qué problema/s podés marcar en la solución propuesta? Justificar.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mala delegación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falta polimorfismo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repite lógica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rompe el encapsulamiento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es expresiva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Plantear una mejor solución. Explicar qué otro/s concepto/s son utilizados.</w:t>
      </w:r>
    </w:p>
    <w:p w:rsidR="00000000" w:rsidDel="00000000" w:rsidP="00000000" w:rsidRDefault="00000000" w:rsidRPr="00000000" w14:paraId="0000003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bookmarkStart w:colFirst="0" w:colLast="0" w:name="_nc5u7f4zd6uj" w:id="2"/>
      <w:bookmarkEnd w:id="2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Parte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Dada la siguiente base de conocimientos: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%material(nombre, tipo, grosor)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material(pino, madera, 20).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material(algarrobo, madera, 10).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material(acero, metal, 25).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material(aluminio, metal, 12).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esResistente(algarrobo).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esResistente(Material) :- material(Material, _, Grosor), Grosor &gt; 15.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tienen las siguientes implementaciones de un predicado para saber si todos los materiales de un determinado tipo son resistentes: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30"/>
        <w:tblGridChange w:id="0">
          <w:tblGrid>
            <w:gridCol w:w="5940"/>
            <w:gridCol w:w="4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todosResistentes(Tipo):-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findall(Material, material(Material, Tipo,_),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Materiales),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resisten(Materiales).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resisten([Material | Materiales]):-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esResistente(Material),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resisten(Materiales).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todosResistentes(Tipo):-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forall(esResistente(Material),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material(Material, Tipo, _)).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 la consulta: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?- todosResistentes(madera). </w:t>
      </w:r>
      <w:r w:rsidDel="00000000" w:rsidR="00000000" w:rsidRPr="00000000">
        <w:rPr>
          <w:rtl w:val="0"/>
        </w:rPr>
        <w:br w:type="textWrapping"/>
        <w:t xml:space="preserve">Ambas soluciones responderán falso, cuando en realidad todas las maderas son resistentes. Explicar cuál es el problema en cada solución e indicar cómo se soluciona.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solucionan los problemas mencionados en el punto anterior, ¿el predicado todosResistentes puede ser usado para conocer algún tipo de material que cumpla lo pedido? Justificar conceptualmente la respuesta.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Comparar ambas soluciones en términos de declaratividad.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566.9291338582677" w:top="873.0708661417325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Rule="auto"/>
      <w:contextualSpacing w:val="0"/>
      <w:jc w:val="center"/>
      <w:rPr/>
    </w:pPr>
    <w:r w:rsidDel="00000000" w:rsidR="00000000" w:rsidRPr="00000000">
      <w:rPr>
        <w:rtl w:val="0"/>
      </w:rPr>
      <w:t xml:space="preserve">Paradigmas de Programación - Examen Final - 20/02/2016 -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