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97.44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Condiciones de aprobación:</w:t>
      </w:r>
    </w:p>
    <w:tbl>
      <w:tblPr>
        <w:tblStyle w:val="Table1"/>
        <w:tblW w:w="10710.0" w:type="dxa"/>
        <w:jc w:val="left"/>
        <w:tblInd w:w="100.0" w:type="pct"/>
        <w:tblLayout w:type="fixed"/>
        <w:tblLook w:val="0600"/>
      </w:tblPr>
      <w:tblGrid>
        <w:gridCol w:w="6105"/>
        <w:gridCol w:w="4605"/>
        <w:tblGridChange w:id="0">
          <w:tblGrid>
            <w:gridCol w:w="6105"/>
            <w:gridCol w:w="4605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240" w:lineRule="auto"/>
              <w:ind w:left="35.4000000000001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aprobar es necesario simultáneamente:</w:t>
            </w:r>
          </w:p>
          <w:p w:rsidR="00000000" w:rsidDel="00000000" w:rsidP="00000000" w:rsidRDefault="00000000" w:rsidRPr="00000000" w14:paraId="00000002">
            <w:pPr>
              <w:numPr>
                <w:ilvl w:val="0"/>
                <w:numId w:val="3"/>
              </w:numPr>
              <w:spacing w:line="240" w:lineRule="auto"/>
              <w:ind w:left="4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 60% del puntaje total, y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spacing w:line="240" w:lineRule="auto"/>
              <w:ind w:left="4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al menos la mitad de los puntos en cada paradigma.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35.4000000000001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preguntas choice o V/F: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40" w:lineRule="auto"/>
              <w:ind w:left="4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serán consideradas si no están justificadas, y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40" w:lineRule="auto"/>
              <w:ind w:left="4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justifican mediante explicaciones y/o código a criterio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ind w:left="-9.599999999999795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todas tus respuestas sé puntual, no pierdas el foco de lo que se pregunta. Respuestas en exceso generales son tan malas como respuestas incompletas.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1914525</wp:posOffset>
                  </wp:positionH>
                  <wp:positionV relativeFrom="paragraph">
                    <wp:posOffset>76200</wp:posOffset>
                  </wp:positionV>
                  <wp:extent cx="766001" cy="766001"/>
                  <wp:effectExtent b="0" l="0" r="0" t="0"/>
                  <wp:wrapSquare wrapText="bothSides" distB="114300" distT="114300" distL="114300" distR="11430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001" cy="7660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v444ntlsytrt" w:id="0"/>
      <w:bookmarkEnd w:id="0"/>
      <w:r w:rsidDel="00000000" w:rsidR="00000000" w:rsidRPr="00000000">
        <w:rPr>
          <w:rtl w:val="0"/>
        </w:rPr>
        <w:t xml:space="preserve">Parte A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 interesa modelar una persona en base a la forma de responder un saludo: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Algunos saludan siempre con el mismo discurso: “¿Bien o te cuento?”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Otros responden el mismo saludo que recibieron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Otros toman la primera palabra y le agregan un: “ es una forma de decir”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primera solución que se nos ocurrió fue:</w:t>
      </w:r>
    </w:p>
    <w:p w:rsidR="00000000" w:rsidDel="00000000" w:rsidP="00000000" w:rsidRDefault="00000000" w:rsidRPr="00000000" w14:paraId="0000000F">
      <w:pPr>
        <w:spacing w:line="265.9090909090909" w:lineRule="auto"/>
        <w:contextualSpacing w:val="0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saludar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saludar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saludoOriginal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a06"/>
          <w:rtl w:val="0"/>
        </w:rPr>
        <w:t xml:space="preserve">"Bien, ¿o querés que te cuente?"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saludar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saludoOriginal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saludoOriginal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saludar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saludoOriginal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flip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a06"/>
          <w:rtl w:val="0"/>
        </w:rPr>
        <w:t xml:space="preserve">" es una forma de decir"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vertAlign w:val="superscript"/>
        </w:rPr>
        <w:footnoteReference w:customMarkFollows="0"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65.9090909090909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saludoOriginal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Indique qué conceptos aparecen en la solución propuesta y explicar para qué se utiliza cada uno.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Comente brevemente puntos positivos y negativos de la solución propuesta, justificando su decisión.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¿Sería posible usar saludar con un saludo original infinito en base a las posibles respuestas que soporta el programa? Justificar.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i bien lo terminamos de resolver, el usuario nos pide una ligera modificación: </w:t>
      </w:r>
      <w:r w:rsidDel="00000000" w:rsidR="00000000" w:rsidRPr="00000000">
        <w:rPr>
          <w:sz w:val="20"/>
          <w:szCs w:val="20"/>
          <w:rtl w:val="0"/>
        </w:rPr>
        <w:t xml:space="preserve">“¿Le pueden </w:t>
      </w:r>
      <w:r w:rsidDel="00000000" w:rsidR="00000000" w:rsidRPr="00000000">
        <w:rPr>
          <w:rtl w:val="0"/>
        </w:rPr>
        <w:t xml:space="preserve">agregar </w:t>
      </w:r>
      <w:r w:rsidDel="00000000" w:rsidR="00000000" w:rsidRPr="00000000">
        <w:rPr>
          <w:sz w:val="20"/>
          <w:szCs w:val="20"/>
          <w:rtl w:val="0"/>
        </w:rPr>
        <w:t xml:space="preserve">el nombre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sz w:val="20"/>
          <w:szCs w:val="20"/>
          <w:rtl w:val="0"/>
        </w:rPr>
        <w:t xml:space="preserve"> la persona al principio del </w:t>
      </w:r>
      <w:r w:rsidDel="00000000" w:rsidR="00000000" w:rsidRPr="00000000">
        <w:rPr>
          <w:sz w:val="20"/>
          <w:szCs w:val="20"/>
          <w:rtl w:val="0"/>
        </w:rPr>
        <w:t xml:space="preserve">saludo</w:t>
      </w:r>
      <w:r w:rsidDel="00000000" w:rsidR="00000000" w:rsidRPr="00000000">
        <w:rPr>
          <w:sz w:val="20"/>
          <w:szCs w:val="20"/>
          <w:rtl w:val="0"/>
        </w:rPr>
        <w:t xml:space="preserve">? Así 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sz w:val="20"/>
          <w:szCs w:val="20"/>
          <w:rtl w:val="0"/>
        </w:rPr>
        <w:t xml:space="preserve"> quién es, por ejemplo si </w:t>
      </w:r>
      <w:r w:rsidDel="00000000" w:rsidR="00000000" w:rsidRPr="00000000">
        <w:rPr>
          <w:rtl w:val="0"/>
        </w:rPr>
        <w:t xml:space="preserve">le decimos “Hola” </w:t>
      </w:r>
      <w:r w:rsidDel="00000000" w:rsidR="00000000" w:rsidRPr="00000000">
        <w:rPr>
          <w:sz w:val="20"/>
          <w:szCs w:val="20"/>
          <w:rtl w:val="0"/>
        </w:rPr>
        <w:t xml:space="preserve">a Pepe que responde con el mismo saludo, que responda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Pepe: Hola</w:t>
      </w:r>
      <w:r w:rsidDel="00000000" w:rsidR="00000000" w:rsidRPr="00000000">
        <w:rPr>
          <w:rtl w:val="0"/>
        </w:rPr>
        <w:t xml:space="preserve">”, y lo mismo para los otros tipos de saludos</w:t>
      </w:r>
      <w:r w:rsidDel="00000000" w:rsidR="00000000" w:rsidRPr="00000000">
        <w:rPr>
          <w:sz w:val="20"/>
          <w:szCs w:val="20"/>
          <w:rtl w:val="0"/>
        </w:rPr>
        <w:t xml:space="preserve">”.</w:t>
      </w:r>
      <w:r w:rsidDel="00000000" w:rsidR="00000000" w:rsidRPr="00000000">
        <w:rPr>
          <w:sz w:val="20"/>
          <w:szCs w:val="20"/>
          <w:rtl w:val="0"/>
        </w:rPr>
        <w:t xml:space="preserve"> Por lo tanto: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Realice los cambios que considere necesarios </w:t>
      </w:r>
      <w:r w:rsidDel="00000000" w:rsidR="00000000" w:rsidRPr="00000000">
        <w:rPr>
          <w:rtl w:val="0"/>
        </w:rPr>
        <w:t xml:space="preserve">de manera que no se repita lógica y también sea fácil incorporar nuevos estilos de saludos</w:t>
      </w:r>
      <w:r w:rsidDel="00000000" w:rsidR="00000000" w:rsidRPr="00000000">
        <w:rPr>
          <w:sz w:val="20"/>
          <w:szCs w:val="20"/>
          <w:rtl w:val="0"/>
        </w:rPr>
        <w:t xml:space="preserve">. Justifique los cambios realizados</w:t>
      </w:r>
      <w:r w:rsidDel="00000000" w:rsidR="00000000" w:rsidRPr="00000000">
        <w:rPr>
          <w:rtl w:val="0"/>
        </w:rPr>
        <w:t xml:space="preserve"> y dé un ejemplo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200" w:lineRule="auto"/>
        <w:contextualSpacing w:val="0"/>
        <w:jc w:val="both"/>
        <w:rPr/>
      </w:pPr>
      <w:bookmarkStart w:colFirst="0" w:colLast="0" w:name="_lgy7zkp3pq2y" w:id="1"/>
      <w:bookmarkEnd w:id="1"/>
      <w:r w:rsidDel="00000000" w:rsidR="00000000" w:rsidRPr="00000000">
        <w:rPr>
          <w:rtl w:val="0"/>
        </w:rPr>
        <w:t xml:space="preserve">Parte B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Dada la siguiente base de conocimientos:</w:t>
      </w:r>
    </w:p>
    <w:tbl>
      <w:tblPr>
        <w:tblStyle w:val="Table2"/>
        <w:tblW w:w="1076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1"/>
        <w:gridCol w:w="5381"/>
        <w:tblGridChange w:id="0">
          <w:tblGrid>
            <w:gridCol w:w="5381"/>
            <w:gridCol w:w="538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gusta(charly, milanesa).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gusta(charly, bondiola).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gusta(clari, milanesa).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gusta(clari, pizza).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gusta(erwin, pizza).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gusta(franco, sushi).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comida(milanesa).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comida(higado).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comida(bondiola).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comida(pizza).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comida(brocoli).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comida(sushi).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comida(bacalao).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Si tenemos una lista de comidas y queremos relacionar el universo de platos que le gusta a alguno, dos desarrolladores plantearon dos soluciones similares: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A)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highlight w:val="white"/>
          <w:rtl w:val="0"/>
        </w:rPr>
        <w:t xml:space="preserve">comidasRicasA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ComidasRicas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):-</w:t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highlight w:val="white"/>
          <w:rtl w:val="0"/>
        </w:rPr>
        <w:t xml:space="preserve">    findall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highlight w:val="white"/>
          <w:rtl w:val="0"/>
        </w:rPr>
        <w:t xml:space="preserve">comida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highlight w:val="white"/>
          <w:rtl w:val="0"/>
        </w:rPr>
        <w:t xml:space="preserve">gusta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highlight w:val="whit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)), 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ComidasRicas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B)</w:t>
      </w:r>
    </w:p>
    <w:p w:rsidR="00000000" w:rsidDel="00000000" w:rsidP="00000000" w:rsidRDefault="00000000" w:rsidRPr="00000000" w14:paraId="0000002F">
      <w:pPr>
        <w:spacing w:line="265.9090909090909" w:lineRule="auto"/>
        <w:contextualSpacing w:val="0"/>
        <w:rPr>
          <w:rFonts w:ascii="Consolas" w:cs="Consolas" w:eastAsia="Consolas" w:hAnsi="Consolas"/>
          <w:b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comidasRicasB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):-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findall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comida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sonRicas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5.9090909090909" w:lineRule="auto"/>
        <w:contextualSpacing w:val="0"/>
        <w:rPr>
          <w:rFonts w:ascii="Consolas" w:cs="Consolas" w:eastAsia="Consolas" w:hAnsi="Consolas"/>
          <w:b w:val="1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sonRicas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([], []).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sonRicas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]):-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gusta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sonRicas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sonRicas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):-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sonRicas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highlight w:val="white"/>
          <w:rtl w:val="0"/>
        </w:rPr>
        <w:t xml:space="preserve">ComidasRicas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¿Son inversibles ambos predicados principales? Justificar.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diferencia presentan en las consultas existenciales?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Relacionar dicha diferencia de funcionalidad con un concepto específico del paradigma que la genera.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Generar un ejemplo dentro del ejercicio que permita contar el principio de universo cerrado. Sea específico, tiene que usar el código existente (del enunciado base y/o soluciones A y B).</w:t>
      </w:r>
    </w:p>
    <w:p w:rsidR="00000000" w:rsidDel="00000000" w:rsidP="00000000" w:rsidRDefault="00000000" w:rsidRPr="00000000" w14:paraId="00000037">
      <w:pPr>
        <w:pStyle w:val="Heading1"/>
        <w:contextualSpacing w:val="0"/>
        <w:rPr/>
      </w:pPr>
      <w:bookmarkStart w:colFirst="0" w:colLast="0" w:name="_cly4fsxhnyll" w:id="2"/>
      <w:bookmarkEnd w:id="2"/>
      <w:r w:rsidDel="00000000" w:rsidR="00000000" w:rsidRPr="00000000">
        <w:rPr>
          <w:rtl w:val="0"/>
        </w:rPr>
        <w:t xml:space="preserve">Parte C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Fletnix es una empresa pujante que nos ha encargado relevar su negocio, que consiste en ofrecer por streaming series, películas y documentales.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los productos tienen un precio mensual que Fletnix debe pagar para ofrecerlo a sus clientes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También sabemos la fecha de estreno de la serie, película o documental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Sabemos qué cosas mira o miró un cliente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producto es deficitario si sale más de $ 100.000 y pasó más de un año de la fecha de estreno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También sabemos cuándo un producto es interesante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una serie, tiene que tener 4 ó 5 temporadas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una película, porque ganó un Oscar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un documental, si en el título dice la palabra “unofficial”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Queremos saber: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un cliente es un ventajero. Lo es cuando solo mira productos deficitarios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 si un cliente mira algo interesante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Para esto se planteó la siguiente solución:</w:t>
      </w:r>
    </w:p>
    <w:tbl>
      <w:tblPr>
        <w:tblStyle w:val="Table3"/>
        <w:tblW w:w="10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gridCol w:w="5640"/>
        <w:tblGridChange w:id="0">
          <w:tblGrid>
            <w:gridCol w:w="5325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Cliente {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2124075</wp:posOffset>
                  </wp:positionH>
                  <wp:positionV relativeFrom="paragraph">
                    <wp:posOffset>-47624</wp:posOffset>
                  </wp:positionV>
                  <wp:extent cx="1181100" cy="335138"/>
                  <wp:effectExtent b="0" l="0" r="0" t="0"/>
                  <wp:wrapSquare wrapText="bothSides" distB="0" distT="0" distL="0" distR="0"/>
                  <wp:docPr descr="wollokIsoLogo.png" id="3" name="image6.png"/>
                  <a:graphic>
                    <a:graphicData uri="http://schemas.openxmlformats.org/drawingml/2006/picture">
                      <pic:pic>
                        <pic:nvPicPr>
                          <pic:cNvPr descr="wollokIsoLogo.png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35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method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esVentajero() =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productos.all({ producto =&gt; (producto.costo() &gt; 100000) &amp;&amp; (producto.fechaEstreno().plusYears(1) &lt; new Date() } ) 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method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miraAlgoInteresante() =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productos.any({ producto =&gt;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producto.esInteresante()})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class Producto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method esInteresante()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if (tipo == “serie”) { return this.cantidadDeTemporadas() == 4 || this.cantidadDeTemporadas() == 5 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 (tipo == "pelicula") { return this.ganoOscar()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 (tipo == "documental") { return this.tieneTituloNoOficial()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#Cliente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1981200</wp:posOffset>
                  </wp:positionH>
                  <wp:positionV relativeFrom="paragraph">
                    <wp:posOffset>-47624</wp:posOffset>
                  </wp:positionV>
                  <wp:extent cx="1243013" cy="333375"/>
                  <wp:effectExtent b="0" l="0" r="0" t="0"/>
                  <wp:wrapSquare wrapText="bothSides" distB="0" distT="0" distL="0" distR="0"/>
                  <wp:docPr descr="smalltalkIsoLogo.png" id="2" name="image5.png"/>
                  <a:graphic>
                    <a:graphicData uri="http://schemas.openxmlformats.org/drawingml/2006/picture">
                      <pic:pic>
                        <pic:nvPicPr>
                          <pic:cNvPr descr="smalltalkIsoLogo.png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013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sVentajero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^ productos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allSatisfy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:[ :unProducto | unProducto costo &gt; 100000 and: [ (unProducto fechaEstreno addYears: 1) &lt; Date today ]]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iraAlgoInteresante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^ productos any: [ :unProducto |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unProducto esInteresante ]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#Producto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&gt;&gt; esInteresante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tipo = ‘serie’ ifTrue: [ ^self cantidadDeTemporadas = 4 or: [ self cantidadDeTemporadas = 5] ].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tipo = ‘pelicula’ ifTrue: [ ^self ganoOscar ].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tipo = ‘documental’ ifTrue: [ ^self tieneTituloNoOficial ]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Responder Verdadero o Falso y justificar conceptualmente en todos los casos:</w:t>
      </w:r>
    </w:p>
    <w:p w:rsidR="00000000" w:rsidDel="00000000" w:rsidP="00000000" w:rsidRDefault="00000000" w:rsidRPr="00000000" w14:paraId="0000006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En la solución propuesta se aprovecha la delegación de responsabilidades. </w:t>
      </w:r>
    </w:p>
    <w:p w:rsidR="00000000" w:rsidDel="00000000" w:rsidP="00000000" w:rsidRDefault="00000000" w:rsidRPr="00000000" w14:paraId="000000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El polimorfismo se utiliza para conocer si un producto cualquiera es o no interesante.</w:t>
      </w:r>
    </w:p>
    <w:p w:rsidR="00000000" w:rsidDel="00000000" w:rsidP="00000000" w:rsidRDefault="00000000" w:rsidRPr="00000000" w14:paraId="0000006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 Si se necesita agregar nuevos productos la solución planteada es fácilmente extendible.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d) No hay manera de aprovechar el uso de herencia para este dominio, ya que no hay lógica repetida.</w:t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417.4015748031496"/>
        <w:contextualSpacing w:val="0"/>
        <w:rPr/>
      </w:pPr>
      <w:r w:rsidDel="00000000" w:rsidR="00000000" w:rsidRPr="00000000">
        <w:rPr>
          <w:rtl w:val="0"/>
        </w:rPr>
        <w:t xml:space="preserve">2)  Proponer una nueva solución que resuelva todos los problemas que encuentre en la solución original. Incluir codificación y diagrama de clases.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566.9291338582677" w:top="566.9291338582677" w:left="572.5984251968505" w:right="572.598425196850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recibe un string y devuelve una lista de strings equivalente al primero separado por sus espacios en blanco. Ejemplo: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words “Hola mundo” --&gt; [“Hola”, “mundo”]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line="331.2" w:lineRule="auto"/>
      <w:contextualSpacing w:val="0"/>
      <w:jc w:val="center"/>
      <w:rPr/>
    </w:pPr>
    <w:r w:rsidDel="00000000" w:rsidR="00000000" w:rsidRPr="00000000">
      <w:rPr>
        <w:rtl w:val="0"/>
      </w:rPr>
      <w:t xml:space="preserve">Paradigmas de Programación - Examen Final - 15/7/2017 - 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both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