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00" w:after="80"/>
        <w:rPr/>
      </w:pPr>
      <w:r>
        <w:rPr>
          <w:b w:val="false"/>
          <w:i w:val="false"/>
          <w:color w:val="000000"/>
          <w:sz w:val="24"/>
        </w:rPr>
        <w:t>C. Análisis de convergencia</w:t>
      </w:r>
    </w:p>
    <w:p>
      <w:pPr>
        <w:pStyle w:val="Normal"/>
        <w:rPr/>
      </w:pPr>
      <w:r>
        <w:rPr/>
        <w:t>El análisis de convergencia permite revisar si las aproximaciones del método de la secante se acercan a una raíz y si alcanzan la tolerancia definida para el taller. Se usa un error relativo porcentual aproximado menor que 0,05 %.</w:t>
      </w:r>
    </w:p>
    <w:p>
      <w:pPr>
        <w:pStyle w:val="Normal"/>
        <w:jc w:val="center"/>
        <w:rPr/>
      </w:pPr>
      <w:r>
        <w:rPr>
          <w:b w:val="false"/>
          <w:i w:val="false"/>
          <w:color w:val="000000"/>
          <w:sz w:val="24"/>
        </w:rPr>
        <w:t>Ea = |(x(n+1) - x(n)) / x(n+1)| × 100 %</w:t>
      </w:r>
    </w:p>
    <w:p>
      <w:pPr>
        <w:pStyle w:val="Normal"/>
        <w:rPr/>
      </w:pPr>
      <w:r>
        <w:rPr/>
        <w:t>El criterio de parada es Ea &lt; 0,05 %.</w:t>
      </w:r>
    </w:p>
    <w:p>
      <w:pPr>
        <w:pStyle w:val="Heading2"/>
        <w:rPr/>
      </w:pPr>
      <w:r>
        <w:rPr>
          <w:b w:val="false"/>
          <w:i w:val="false"/>
          <w:color w:val="000000"/>
          <w:sz w:val="24"/>
        </w:rPr>
        <w:t>Análisis de cada ejercicio</w:t>
      </w:r>
    </w:p>
    <w:p>
      <w:pPr>
        <w:pStyle w:val="Heading3"/>
        <w:rPr/>
      </w:pPr>
      <w:r>
        <w:rPr>
          <w:b w:val="false"/>
          <w:i w:val="false"/>
          <w:color w:val="000000"/>
          <w:sz w:val="24"/>
        </w:rPr>
        <w:t>Ejercicio 1. f(x) = ln(x) - 2x + 3; x0 = 1, x1 = 2</w:t>
      </w:r>
    </w:p>
    <w:p>
      <w:pPr>
        <w:pStyle w:val="Normal"/>
        <w:rPr/>
      </w:pPr>
      <w:r>
        <w:rPr/>
        <w:t>Con los valores iniciales indicados, el método de la secante converge a una raíz real aproximada de x ≈ 1,7915. Las aproximaciones sucesivas se acercan a la raíz y el error queda por debajo de la tolerancia del taller.</w:t>
      </w:r>
    </w:p>
    <w:p>
      <w:pPr>
        <w:pStyle w:val="Heading3"/>
        <w:rPr/>
      </w:pPr>
      <w:r>
        <w:rPr>
          <w:b w:val="false"/>
          <w:i w:val="false"/>
          <w:color w:val="000000"/>
          <w:sz w:val="24"/>
        </w:rPr>
        <w:t>Ejercicio 2. f(x) = x^3 - 3x - 4; x0 = 5, x1 = 7</w:t>
      </w:r>
    </w:p>
    <w:p>
      <w:pPr>
        <w:pStyle w:val="Normal"/>
        <w:rPr/>
      </w:pPr>
      <w:r>
        <w:rPr/>
        <w:t>El método de la secante converge a una raíz real aproximada de x ≈ 2,1958. Con los valores iniciales indicados, las aproximaciones terminan cumpliendo el criterio de error menor que 0,05 %.</w:t>
      </w:r>
    </w:p>
    <w:p>
      <w:pPr>
        <w:pStyle w:val="Heading3"/>
        <w:rPr/>
      </w:pPr>
      <w:r>
        <w:rPr>
          <w:b w:val="false"/>
          <w:i w:val="false"/>
          <w:color w:val="000000"/>
          <w:sz w:val="24"/>
        </w:rPr>
        <w:t>Ejercicio 3. f(x) = x^2 - x + 6; x0 = 1, x1 = 2</w:t>
      </w:r>
    </w:p>
    <w:p>
      <w:pPr>
        <w:pStyle w:val="Normal"/>
        <w:rPr/>
      </w:pPr>
      <w:r>
        <w:rPr/>
        <w:t>La ecuación no tiene raíces reales. Su discriminante es Δ = b^2 - 4ac = (-1)^2 - 4(1)(6) = -23. Como el discriminante es negativo, la ecuación cuadrática tiene dos raíces complejas conjugadas y ninguna raíz real. Por lo tanto, la secante no puede converger a una raíz real de esta función.</w:t>
      </w:r>
    </w:p>
    <w:p>
      <w:pPr>
        <w:pStyle w:val="Heading3"/>
        <w:rPr/>
      </w:pPr>
      <w:r>
        <w:rPr>
          <w:b w:val="false"/>
          <w:i w:val="false"/>
          <w:color w:val="000000"/>
          <w:sz w:val="24"/>
        </w:rPr>
        <w:t>Ejercicio 4. f(x) = 2 sen(x) - x; x0 = 1, x1 = 2</w:t>
      </w:r>
    </w:p>
    <w:p>
      <w:pPr>
        <w:pStyle w:val="Normal"/>
        <w:rPr/>
      </w:pPr>
      <w:r>
        <w:rPr/>
        <w:t>El método converge a una raíz real aproximada de x ≈ 1,8955. Las aproximaciones sucesivas se acercan a la solución y el error relativo porcentual llega a ser menor que 0,05 %. La función seno se evalúa en radianes.</w:t>
      </w:r>
    </w:p>
    <w:p>
      <w:pPr>
        <w:pStyle w:val="Heading2"/>
        <w:rPr/>
      </w:pPr>
      <w:r>
        <w:rPr>
          <w:b w:val="false"/>
          <w:i w:val="false"/>
          <w:color w:val="000000"/>
          <w:sz w:val="24"/>
        </w:rPr>
        <w:t>Conclusión del análisis de convergencia</w:t>
      </w:r>
    </w:p>
    <w:p>
      <w:pPr>
        <w:pStyle w:val="Normal"/>
        <w:rPr/>
      </w:pPr>
      <w:r>
        <w:rPr/>
        <w:t>En los ejercicios 1, 2 y 4, la secante alcanza una aproximación que cumple la tolerancia establecida. El ejercicio 3 no tiene una raíz real, por lo que no puede satisfacer ese objetivo. El resultado depende de la función y de las aproximaciones iniciales utilizadas.</w:t>
      </w:r>
    </w:p>
    <w:p>
      <w:pPr>
        <w:pStyle w:val="Heading1"/>
        <w:rPr/>
      </w:pPr>
      <w:r>
        <w:rPr>
          <w:b w:val="false"/>
          <w:i w:val="false"/>
          <w:color w:val="000000"/>
          <w:sz w:val="24"/>
        </w:rPr>
        <w:t>D. Comparación con el método de bisección</w:t>
      </w:r>
    </w:p>
    <w:p>
      <w:pPr>
        <w:pStyle w:val="Heading2"/>
        <w:rPr/>
      </w:pPr>
      <w:r>
        <w:rPr>
          <w:b w:val="false"/>
          <w:i w:val="false"/>
          <w:color w:val="000000"/>
          <w:sz w:val="24"/>
        </w:rPr>
        <w:t>Descripción del método de bisección</w:t>
      </w:r>
    </w:p>
    <w:p>
      <w:pPr>
        <w:pStyle w:val="Normal"/>
        <w:rPr/>
      </w:pPr>
      <w:r>
        <w:rPr/>
        <w:t>El método de bisección aproxima una raíz de una función continua a partir de un intervalo [a, b] cuyos extremos tienen signos opuestos. La condición inicial es:</w:t>
      </w:r>
    </w:p>
    <w:p>
      <w:pPr>
        <w:pStyle w:val="Normal"/>
        <w:jc w:val="center"/>
        <w:rPr/>
      </w:pPr>
      <w:r>
        <w:rPr>
          <w:b w:val="false"/>
          <w:i w:val="false"/>
          <w:color w:val="000000"/>
          <w:sz w:val="24"/>
        </w:rPr>
        <w:t>f(a) · f(b) &lt; 0</w:t>
      </w:r>
    </w:p>
    <w:p>
      <w:pPr>
        <w:pStyle w:val="Normal"/>
        <w:rPr/>
      </w:pPr>
      <w:r>
        <w:rPr/>
        <w:t>En cada iteración se calcula el punto medio:</w:t>
      </w:r>
    </w:p>
    <w:p>
      <w:pPr>
        <w:pStyle w:val="Normal"/>
        <w:jc w:val="center"/>
        <w:rPr/>
      </w:pPr>
      <w:r>
        <w:rPr>
          <w:b w:val="false"/>
          <w:i w:val="false"/>
          <w:color w:val="000000"/>
          <w:sz w:val="24"/>
        </w:rPr>
        <w:t>xm = (a + b) / 2</w:t>
      </w:r>
    </w:p>
    <w:p>
      <w:pPr>
        <w:pStyle w:val="Normal"/>
        <w:rPr/>
      </w:pPr>
      <w:r>
        <w:rPr/>
        <w:t>Se evalúa la función en el punto medio y se conserva la mitad del intervalo que mantiene el cambio de signo. El procedimiento se repite hasta alcanzar la tolerancia. Si la función es continua y se cumple la condición inicial, la bisección mantiene acotada la raíz dentro del intervalo.</w:t>
      </w:r>
    </w:p>
    <w:p>
      <w:pPr>
        <w:pStyle w:val="Heading2"/>
        <w:rPr/>
      </w:pPr>
      <w:r>
        <w:rPr>
          <w:b w:val="false"/>
          <w:i w:val="false"/>
          <w:color w:val="000000"/>
          <w:sz w:val="24"/>
        </w:rPr>
        <w:t>Comparación entre la secante y la bisección</w:t>
      </w:r>
    </w:p>
    <w:tbl>
      <w:tblPr>
        <w:tblStyle w:val="TableGrid"/>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20"/>
        <w:gridCol w:w="3120"/>
        <w:gridCol w:w="3120"/>
      </w:tblGrid>
      <w:tr>
        <w:trPr/>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Característica</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Método de la secante</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Método de bisección</w:t>
            </w:r>
          </w:p>
        </w:tc>
      </w:tr>
      <w:tr>
        <w:trPr/>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Valores iniciales</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Necesita dos aproximaciones.</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Necesita un intervalo con cambio de signo.</w:t>
            </w:r>
          </w:p>
        </w:tc>
      </w:tr>
      <w:tr>
        <w:trPr/>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Velocidad</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Suele converger más rápido cerca de la raíz.</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Suele converger más lentamente.</w:t>
            </w:r>
          </w:p>
        </w:tc>
      </w:tr>
      <w:tr>
        <w:trPr/>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Convergencia</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No está garantizada para cualquier par inicial.</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Está garantizada si se cumplen las condiciones del método.</w:t>
            </w:r>
          </w:p>
        </w:tc>
      </w:tr>
      <w:tr>
        <w:trPr/>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Derivadas</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No requiere derivadas.</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No requiere derivadas.</w:t>
            </w:r>
          </w:p>
        </w:tc>
      </w:tr>
      <w:tr>
        <w:trPr/>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Procedimiento</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Usa la recta secante entre dos puntos.</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Divide repetidamente el intervalo en dos.</w:t>
            </w:r>
          </w:p>
        </w:tc>
      </w:tr>
      <w:tr>
        <w:trPr/>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Ventaja</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Puede alcanzar la tolerancia con menos iteraciones.</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Mantiene un intervalo que contiene una raíz.</w:t>
            </w:r>
          </w:p>
        </w:tc>
      </w:tr>
      <w:tr>
        <w:trPr/>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Limitación</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Puede divergir o producir valores no válidos.</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Puede necesitar más iteraciones.</w:t>
            </w:r>
          </w:p>
        </w:tc>
      </w:tr>
    </w:tbl>
    <w:p>
      <w:pPr>
        <w:pStyle w:val="Heading2"/>
        <w:rPr/>
      </w:pPr>
      <w:r>
        <w:rPr>
          <w:b w:val="false"/>
          <w:i w:val="false"/>
          <w:color w:val="000000"/>
          <w:sz w:val="24"/>
        </w:rPr>
        <w:t>Aplicación a los ejercicios</w:t>
      </w:r>
    </w:p>
    <w:p>
      <w:pPr>
        <w:pStyle w:val="Normal"/>
        <w:rPr/>
      </w:pPr>
      <w:r>
        <w:rPr/>
        <w:t>La comparación utiliza una tolerancia de 0,05 %. Para aplicar bisección, el intervalo debe tener signos opuestos en sus extremos. Los intervalos indicados a continuación cumplen esa condición en los ejercicios 1, 2 y 4.</w:t>
      </w:r>
    </w:p>
    <w:tbl>
      <w:tblPr>
        <w:tblStyle w:val="TableGrid"/>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20"/>
        <w:gridCol w:w="3120"/>
        <w:gridCol w:w="3120"/>
      </w:tblGrid>
      <w:tr>
        <w:trPr/>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Ejercicio</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Intervalo de bisección</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Observación</w:t>
            </w:r>
          </w:p>
        </w:tc>
      </w:tr>
      <w:tr>
        <w:trPr/>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1. ln(x) - 2x + 3 = 0</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[1, 2]</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Los dos métodos pueden aproximar una raíz en este intervalo.</w:t>
            </w:r>
          </w:p>
        </w:tc>
      </w:tr>
      <w:tr>
        <w:trPr/>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2. x^3 - 3x - 4 = 0</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[2, 3]</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El intervalo inicial de secante [5, 7] no tiene cambio de signo; [2, 3] sí lo tiene.</w:t>
            </w:r>
          </w:p>
        </w:tc>
      </w:tr>
      <w:tr>
        <w:trPr/>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3. x^2 - x + 6 = 0</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No aplica</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La función no tiene raíces reales ni cambia de signo.</w:t>
            </w:r>
          </w:p>
        </w:tc>
      </w:tr>
      <w:tr>
        <w:trPr/>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4. 2 sen(x) - x = 0</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[1, 2]</w:t>
            </w:r>
          </w:p>
        </w:tc>
        <w:tc>
          <w:tcPr>
            <w:tcW w:w="3120" w:type="dxa"/>
            <w:tcBorders/>
          </w:tcPr>
          <w:p>
            <w:pPr>
              <w:pStyle w:val="Normal"/>
              <w:widowControl/>
              <w:spacing w:lineRule="auto" w:line="240" w:before="0" w:after="40"/>
              <w:jc w:val="start"/>
              <w:rPr>
                <w:rFonts w:cs=""/>
                <w:kern w:val="0"/>
                <w:szCs w:val="22"/>
                <w:lang w:val="en-US" w:eastAsia="en-US" w:bidi="ar-SA"/>
              </w:rPr>
            </w:pPr>
            <w:r>
              <w:rPr>
                <w:rFonts w:cs=""/>
                <w:b w:val="false"/>
                <w:i w:val="false"/>
                <w:color w:val="000000"/>
                <w:kern w:val="0"/>
                <w:sz w:val="24"/>
                <w:szCs w:val="22"/>
                <w:lang w:val="en-US" w:eastAsia="en-US" w:bidi="ar-SA"/>
              </w:rPr>
              <w:t>Los dos métodos pueden aproximar la raíz positiva cercana a 1,8955.</w:t>
            </w:r>
          </w:p>
        </w:tc>
      </w:tr>
    </w:tbl>
    <w:p>
      <w:pPr>
        <w:pStyle w:val="Normal"/>
        <w:rPr/>
      </w:pPr>
      <w:r>
        <w:rPr/>
        <w:t>En el ejercicio 2 se utiliza [2, 3] para bisección porque la condición del método es que la función tenga signos opuestos en los extremos. La secante puede iniciar con dos valores que no formen un intervalo con cambio de signo.</w:t>
      </w:r>
    </w:p>
    <w:p>
      <w:pPr>
        <w:pStyle w:val="Heading2"/>
        <w:rPr/>
      </w:pPr>
      <w:r>
        <w:rPr>
          <w:b w:val="false"/>
          <w:i w:val="false"/>
          <w:color w:val="000000"/>
          <w:sz w:val="24"/>
        </w:rPr>
        <w:t>Conclusión de la comparación</w:t>
      </w:r>
    </w:p>
    <w:p>
      <w:pPr>
        <w:pStyle w:val="Normal"/>
        <w:rPr/>
      </w:pPr>
      <w:r>
        <w:rPr/>
        <w:t>La secante suele requerir menos iteraciones cuando las aproximaciones iniciales son adecuadas, pero puede fallar si los valores iniciales no conducen hacia una raíz. La bisección es más predecible porque conserva un intervalo con cambio de signo, aunque normalmente necesita más iteraciones. Para estos ejercicios, ambos métodos se pueden aplicar en los ejercicios 1, 2 y 4; el ejercicio 3 no tiene solución real.</w:t>
      </w:r>
    </w:p>
    <w:p>
      <w:pPr>
        <w:pStyle w:val="Heading1"/>
        <w:keepNext w:val="true"/>
        <w:keepLines/>
        <w:spacing w:before="200" w:after="80"/>
        <w:rPr>
          <w:rFonts w:ascii="Calibri" w:hAnsi="Calibri"/>
          <w:b w:val="false"/>
          <w:i w:val="false"/>
          <w:color w:val="000000"/>
          <w:sz w:val="24"/>
        </w:rPr>
      </w:pPr>
      <w:r>
        <w:rPr/>
      </w:r>
    </w:p>
    <w:sectPr>
      <w:footerReference w:type="even" r:id="rId2"/>
      <w:footerReference w:type="default" r:id="rId3"/>
      <w:footerReference w:type="first" r:id="rId4"/>
      <w:type w:val="nextPage"/>
      <w:pgSz w:w="12240" w:h="15840"/>
      <w:pgMar w:left="1440" w:right="1440" w:gutter="0" w:header="0" w:top="1152" w:footer="72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libri" w:hAnsi="Calibri"/>
        <w:b w:val="false"/>
        <w:i w:val="false"/>
        <w:color w:val="000000"/>
        <w:sz w:val="24"/>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libri" w:hAnsi="Calibri"/>
        <w:b w:val="false"/>
        <w:i w:val="false"/>
        <w:color w:val="000000"/>
        <w:sz w:val="24"/>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Calibri" w:hAnsi="Calibri" w:eastAsia="Calibri" w:cs=""/>
      <w:b w:val="false"/>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80"/>
      <w:outlineLvl w:val="0"/>
    </w:pPr>
    <w:rPr>
      <w:rFonts w:ascii="Calibri" w:hAnsi="Calibri" w:eastAsia="ＭＳ ゴシック" w:cs="" w:asciiTheme="majorHAnsi" w:cstheme="majorBidi" w:eastAsiaTheme="majorEastAsia" w:hAnsiTheme="majorHAnsi"/>
      <w:b w:val="false"/>
      <w:bCs/>
      <w:color w:val="000000"/>
      <w:sz w:val="24"/>
      <w:szCs w:val="28"/>
    </w:rPr>
  </w:style>
  <w:style w:type="paragraph" w:styleId="Heading2">
    <w:name w:val="heading 2"/>
    <w:basedOn w:val="Normal"/>
    <w:next w:val="Normal"/>
    <w:link w:val="Heading2Char"/>
    <w:uiPriority w:val="9"/>
    <w:unhideWhenUsed/>
    <w:qFormat/>
    <w:rsid w:val="00fc693f"/>
    <w:pPr>
      <w:keepNext w:val="true"/>
      <w:keepLines/>
      <w:spacing w:before="200" w:after="80"/>
      <w:outlineLvl w:val="1"/>
    </w:pPr>
    <w:rPr>
      <w:rFonts w:ascii="Calibri" w:hAnsi="Calibri" w:eastAsia="ＭＳ ゴシック" w:cs="" w:asciiTheme="majorHAnsi" w:cstheme="majorBidi" w:eastAsiaTheme="majorEastAsia" w:hAnsiTheme="majorHAnsi"/>
      <w:b w:val="false"/>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80"/>
      <w:outlineLvl w:val="2"/>
    </w:pPr>
    <w:rPr>
      <w:rFonts w:ascii="Calibri" w:hAnsi="Calibri" w:eastAsia="ＭＳ ゴシック" w:cs="" w:asciiTheme="majorHAnsi" w:cstheme="majorBidi" w:eastAsiaTheme="majorEastAsia" w:hAnsiTheme="majorHAnsi"/>
      <w:b w:val="false"/>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val="false"/>
      <w:color w:val="000000"/>
      <w:spacing w:val="5"/>
      <w:kern w:val="2"/>
      <w:sz w:val="2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b w:val="false"/>
      <w:i/>
      <w:iCs/>
      <w:color w:val="000000"/>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LibreOffice/26.2.6.3$Linux_X86_64 LibreOffice_project/620$Build-3</Application>
  <AppVersion>15.0000</AppVersion>
  <Pages>3</Pages>
  <Words>790</Words>
  <Characters>3682</Characters>
  <CharactersWithSpaces>4405</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2026-10-21T22:32:26Z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