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Cross-Field Validation Rules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Residential Mortgage Loan Tape - Data Quality Enforcement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Addendum to Training Guide</w:t>
      </w:r>
    </w:p>
    <w:p>
      <w:pPr>
        <w:pStyle w:val="Heading1"/>
      </w:pPr>
      <w:r>
        <w:t xml:space="preserve">Introduction</w:t>
      </w:r>
    </w:p>
    <w:p>
      <w:pPr>
        <w:spacing w:after="180"/>
      </w:pPr>
      <w:r>
        <w:t xml:space="preserve">This document details specific cross-field validation rules that enforce logical consistency across the residential mortgage loan tape. These rules go beyond simple range checks to validate business logic and relationships between fields.</w:t>
      </w:r>
    </w:p>
    <w:p>
      <w:pPr>
        <w:pStyle w:val="WarningBox"/>
        <w:spacing w:after="120"/>
      </w:pPr>
      <w:r>
        <w:t xml:space="preserve">CRITICAL: These rules must be checked systematically for every loan in the tape. Violations indicate either data errors or fundamental misunderstanding of loan characteristics.</w:t>
      </w:r>
    </w:p>
    <w:p>
      <w:pPr>
        <w:spacing w:after="240"/>
      </w:pPr>
      <w:r>
        <w:t xml:space="preserve">Each rule below specifies the condition (IF statement) and the required validation (THEN statement). Violations should be logged and resolved before finalizing the tape.</w:t>
      </w:r>
    </w:p>
    <w:p>
      <w:pPr>
        <w:pStyle w:val="Heading1"/>
      </w:pPr>
      <w:r>
        <w:t xml:space="preserve">1. Repayment Method &amp; Payment Frequency Rules</w:t>
      </w:r>
    </w:p>
    <w:p>
      <w:pPr>
        <w:pStyle w:val="Heading2"/>
      </w:pPr>
      <w:r>
        <w:t xml:space="preserve">1.1 Core Business Logic</w:t>
      </w:r>
    </w:p>
    <w:p>
      <w:pPr>
        <w:spacing w:after="180"/>
      </w:pPr>
      <w:r>
        <w:t xml:space="preserve">Repayment method determines the fundamental structure of the loan, which constrains allowable payment frequencies.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IF: AR69 Repayment Method =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THEN: AR70 Payment Frequency =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Repayment (1) - Capital &amp; Interest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(1), Quarterly (4), Semi-Annual (5), Annual (6), Bi-Weekly (7), Weekly (8)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Interest Only (2)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(1), Quarterly (4), Semi-Annual (5), Annual (6)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Bullet (5)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Semi-Annual (5) or Annual (6)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Part &amp; Part 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(1) - most common for split repayment structures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Standing Loan (4)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Semi-Annual (5) or Annual (6) typically</w:t>
            </w:r>
          </w:p>
        </w:tc>
      </w:tr>
    </w:tbl>
    <w:p>
      <w:pPr>
        <w:pStyle w:val="WarningBox"/>
        <w:spacing w:before="180" w:after="120"/>
      </w:pPr>
      <w:r>
        <w:t xml:space="preserve">KEY RULE: Bullet repayment (AR69=5) can ONLY have Semi-Annual (5) or Annual (6) payment frequency. Monthly/Quarterly bullet payments violate loan structure definition.</w:t>
      </w:r>
    </w:p>
    <w:p>
      <w:pPr>
        <w:pStyle w:val="Heading2"/>
      </w:pPr>
      <w:r>
        <w:t xml:space="preserve">1.2 Payment Due Validation</w:t>
      </w:r>
    </w:p>
    <w:p>
      <w:pPr>
        <w:pStyle w:val="ListParagraph"/>
        <w:numPr>
          <w:ilvl w:val="0"/>
          <w:numId w:val="2"/>
        </w:numPr>
      </w:pPr>
      <w:r>
        <w:t xml:space="preserve">IF AR69 = Bullet (5), THEN AR71 (Payment Due) should be 0 or very small (fees only). Bullet loans have no regular principal or interest payments.</w:t>
      </w:r>
    </w:p>
    <w:p>
      <w:pPr>
        <w:pStyle w:val="ListParagraph"/>
        <w:numPr>
          <w:ilvl w:val="0"/>
          <w:numId w:val="2"/>
        </w:numPr>
      </w:pPr>
      <w:r>
        <w:t xml:space="preserve">IF AR69 = Interest Only (2), THEN AR71 ≈ (AR67 × AR109 / 12) for monthly frequency. Principal component should be zero.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AR69 = Repayment (1), THEN AR71 should include both principal and interest per amortization schedule.</w:t>
      </w:r>
    </w:p>
    <w:p>
      <w:pPr>
        <w:pStyle w:val="Heading1"/>
      </w:pPr>
      <w:r>
        <w:t xml:space="preserve">2. Occupancy Type &amp; Buy-to-Let Specific Rules</w:t>
      </w:r>
    </w:p>
    <w:p>
      <w:pPr>
        <w:pStyle w:val="Heading2"/>
      </w:pPr>
      <w:r>
        <w:t xml:space="preserve">2.1 BTL Required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IF: AR130 = Buy-to-Let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THEN: Must populate:</w:t>
            </w:r>
          </w:p>
          <w:p>
            <w:r>
              <w:t xml:space="preserve">• AR154 (Rental Income) &gt; 0</w:t>
            </w:r>
          </w:p>
          <w:p>
            <w:r>
              <w:t xml:space="preserve">• AR155 (Number of BTL Properties) &gt;= 1</w:t>
            </w:r>
          </w:p>
          <w:p>
            <w:r>
              <w:t xml:space="preserve">• AR156 (DSCR) &gt;= 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IF: AR130 = Owner Occupied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THEN: BTL fields should be:</w:t>
            </w:r>
          </w:p>
          <w:p>
            <w:r>
              <w:t xml:space="preserve">• AR154 (Rental Income) = 0 or blank</w:t>
            </w:r>
          </w:p>
          <w:p>
            <w:r>
              <w:t xml:space="preserve">• AR155 (Number BTL Properties) = 0 or blank</w:t>
            </w:r>
          </w:p>
          <w:p>
            <w:r>
              <w:t xml:space="preserve">• AR156 (DSCR) = 0 or blank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IF: AR154 (Rental Income) &gt; 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THEN: AR130 must be BTL or Investment</w:t>
            </w:r>
          </w:p>
          <w:p>
            <w:r>
              <w:t xml:space="preserve">AND: AR156 (DSCR) must be populated</w:t>
            </w:r>
          </w:p>
        </w:tc>
      </w:tr>
    </w:tbl>
    <w:p>
      <w:pPr>
        <w:spacing w:before="180" w:after="120"/>
      </w:pPr>
      <w:r>
        <w:rPr>
          <w:b/>
          <w:bCs/>
        </w:rPr>
        <w:t xml:space="preserve">DSCR Calculation Check:</w:t>
      </w:r>
    </w:p>
    <w:p>
      <w:pPr>
        <w:pStyle w:val="ListParagraph"/>
        <w:numPr>
          <w:ilvl w:val="0"/>
          <w:numId w:val="2"/>
        </w:numPr>
      </w:pPr>
      <w:r>
        <w:t xml:space="preserve">IF AR130 = BTL, THEN verify: AR156 (DSCR) ≈ (AR154 × Stress Factor) / (AR71 × 12) × 100</w:t>
      </w:r>
    </w:p>
    <w:p>
      <w:pPr>
        <w:pStyle w:val="ListParagraph"/>
        <w:numPr>
          <w:ilvl w:val="0"/>
          <w:numId w:val="2"/>
        </w:numPr>
      </w:pPr>
      <w:r>
        <w:t xml:space="preserve">Typical stress factors: 125-145%. UK regulatory requirement is typically 125% at 5.5% stress rate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Minimum DSCR should be 100%. Values &lt;100% indicate negative cash flow and require investigation</w:t>
      </w:r>
    </w:p>
    <w:p>
      <w:pPr>
        <w:pStyle w:val="Heading1"/>
      </w:pPr>
      <w:r>
        <w:t xml:space="preserve">3. Interest Rate Type &amp; Index/Margin Rules</w:t>
      </w:r>
    </w:p>
    <w:p>
      <w:pPr>
        <w:pStyle w:val="Heading2"/>
      </w:pPr>
      <w:r>
        <w:t xml:space="preserve">3.1 Rate Type and Index Consistency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AR107 Rate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AR108 Valid Indices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AR110 Margin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Fixed (1)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(1) or 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or blank (no margin applicable)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Variable/Tracker (2)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SONIA, BoE Base Rate, LIBOR (legacy)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Must be populated (typically -2% to +5%)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Discount (3)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SVR (Standard Variable Rate)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Negative value (discount off SVR)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Capped (4)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SONIA, BoE Base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Margin populated, verify AR112 (Cap Rate) &gt;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SVR (5)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SVR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 or blank (no margin, lender sets SVR)</w:t>
            </w:r>
          </w:p>
        </w:tc>
      </w:tr>
    </w:tbl>
    <w:p>
      <w:pPr>
        <w:spacing w:before="180" w:after="120"/>
      </w:pPr>
      <w:r>
        <w:rPr>
          <w:b/>
          <w:bCs/>
        </w:rPr>
        <w:t xml:space="preserve">Rate Calculation Validation:</w:t>
      </w:r>
    </w:p>
    <w:p>
      <w:pPr>
        <w:pStyle w:val="ListParagraph"/>
        <w:numPr>
          <w:ilvl w:val="0"/>
          <w:numId w:val="2"/>
        </w:numPr>
      </w:pPr>
      <w:r>
        <w:t xml:space="preserve">IF AR107 = Variable/Tracker, THEN AR109 should approximately equal AR108 + AR110 (tolerance: ±0.25%)</w:t>
      </w:r>
    </w:p>
    <w:p>
      <w:pPr>
        <w:pStyle w:val="ListParagraph"/>
        <w:numPr>
          <w:ilvl w:val="0"/>
          <w:numId w:val="2"/>
        </w:numPr>
      </w:pPr>
      <w:r>
        <w:t xml:space="preserve">IF AR107 = Fixed, THEN AR108 should be 'Fixed' AND AR110 should be 0 or blank</w:t>
      </w:r>
    </w:p>
    <w:p>
      <w:pPr>
        <w:pStyle w:val="ListParagraph"/>
        <w:numPr>
          <w:ilvl w:val="0"/>
          <w:numId w:val="2"/>
        </w:numPr>
      </w:pPr>
      <w:r>
        <w:t xml:space="preserve">IF AR107 = Capped, THEN AR112 (Interest Cap Rate) must be &gt; 0 AND &gt; AR109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AR108 = LIBOR (legacy), flag for transition to SONIA - LIBOR ceased December 2021</w:t>
      </w:r>
    </w:p>
    <w:p>
      <w:pPr>
        <w:pStyle w:val="Heading1"/>
      </w:pPr>
      <w:r>
        <w:t xml:space="preserve">4. Borrower Information Consistency</w:t>
      </w:r>
    </w:p>
    <w:p>
      <w:pPr>
        <w:pStyle w:val="Heading2"/>
      </w:pPr>
      <w:r>
        <w:t xml:space="preserve">4.1 Number of Debtors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AR19 (Number of Debtors) = 1, THEN all second borrower fields (AR189-AR210, AR231-AR236) must be blank or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IF AR19 = 2, THEN following second borrower fields are MANDATORY:</w:t>
      </w:r>
    </w:p>
    <w:p>
      <w:pPr>
        <w:pStyle w:val="ListParagraph"/>
        <w:numPr>
          <w:ilvl w:val="0"/>
          <w:numId w:val="3"/>
        </w:numPr>
      </w:pPr>
      <w:r>
        <w:t xml:space="preserve">AR189 (Second Borrower Employment Status)</w:t>
      </w:r>
    </w:p>
    <w:p>
      <w:pPr>
        <w:pStyle w:val="ListParagraph"/>
        <w:numPr>
          <w:ilvl w:val="0"/>
          <w:numId w:val="3"/>
        </w:numPr>
      </w:pPr>
      <w:r>
        <w:t xml:space="preserve">AR192-195 (Second Borrower CCJ fields)</w:t>
      </w:r>
    </w:p>
    <w:p>
      <w:pPr>
        <w:pStyle w:val="ListParagraph"/>
        <w:numPr>
          <w:ilvl w:val="0"/>
          <w:numId w:val="3"/>
        </w:numPr>
      </w:pPr>
      <w:r>
        <w:t xml:space="preserve">AR197 (Second Borrower Bankruptcy Flag)</w:t>
      </w:r>
    </w:p>
    <w:p>
      <w:pPr>
        <w:pStyle w:val="ListParagraph"/>
        <w:numPr>
          <w:ilvl w:val="0"/>
          <w:numId w:val="3"/>
        </w:numPr>
      </w:pPr>
      <w:r>
        <w:t xml:space="preserve">AR204-207 (Second Borrower Bureau Score fields)</w:t>
      </w:r>
    </w:p>
    <w:p>
      <w:pPr>
        <w:pStyle w:val="ListParagraph"/>
        <w:numPr>
          <w:ilvl w:val="0"/>
          <w:numId w:val="2"/>
        </w:numPr>
      </w:pPr>
      <w:r>
        <w:t xml:space="preserve">IF AR19 = 2, verify combined income (AR26 + AR28) supports DTI calculation if AR73 is populated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AR19 &gt; 2, this is unusual for residential mortgages - verify with originator</w:t>
      </w:r>
    </w:p>
    <w:p>
      <w:pPr>
        <w:pStyle w:val="Heading2"/>
      </w:pPr>
      <w:r>
        <w:t xml:space="preserve">4.2 Income and Employment Consistency</w:t>
      </w:r>
    </w:p>
    <w:p>
      <w:pPr>
        <w:pStyle w:val="ListParagraph"/>
        <w:numPr>
          <w:ilvl w:val="0"/>
          <w:numId w:val="2"/>
        </w:numPr>
      </w:pPr>
      <w:r>
        <w:t xml:space="preserve">IF AR21 (Employment Status) = Unemployed or Student, THEN AR26 (Primary Income) should be low or require explanation</w:t>
      </w:r>
    </w:p>
    <w:p>
      <w:pPr>
        <w:pStyle w:val="ListParagraph"/>
        <w:numPr>
          <w:ilvl w:val="0"/>
          <w:numId w:val="2"/>
        </w:numPr>
      </w:pPr>
      <w:r>
        <w:t xml:space="preserve">IF AR21 = Retired, verify AR26 is reasonable for pension income (typically lower than employed income)</w:t>
      </w:r>
    </w:p>
    <w:p>
      <w:pPr>
        <w:pStyle w:val="ListParagraph"/>
        <w:numPr>
          <w:ilvl w:val="0"/>
          <w:numId w:val="2"/>
        </w:numPr>
      </w:pPr>
      <w:r>
        <w:t xml:space="preserve">IF AR27 (Income Verification) = None or Self-Certified, expect higher interest rates (AR109) to compensate for risk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AR130 = Owner Occupied, THEN AR26 (Primary Income) must be &gt; 0. BTL may have 0 if relying on rental income only</w:t>
      </w:r>
    </w:p>
    <w:p>
      <w:pPr>
        <w:pStyle w:val="Heading1"/>
      </w:pPr>
      <w:r>
        <w:t xml:space="preserve">5. Performance, Arrears &amp; Default Rules</w:t>
      </w:r>
    </w:p>
    <w:p>
      <w:pPr>
        <w:pStyle w:val="Heading2"/>
      </w:pPr>
      <w:r>
        <w:t xml:space="preserve">5.1 Account Status Transitions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AR166 Account 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Field States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Current (1)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AR169 (Arrears Balance) = 0</w:t>
            </w:r>
          </w:p>
          <w:p>
            <w:r>
              <w:t xml:space="preserve">• AR170 (Months in Arrears) = 0</w:t>
            </w:r>
          </w:p>
          <w:p>
            <w:r>
              <w:t xml:space="preserve">• AR177 (Default/Foreclosure) = No/False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Arrears (2)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AR169 (Arrears Balance) &gt; 0</w:t>
            </w:r>
          </w:p>
          <w:p>
            <w:r>
              <w:t xml:space="preserve">• AR170 (Months in Arrears) &gt; 0</w:t>
            </w:r>
          </w:p>
          <w:p>
            <w:r>
              <w:t xml:space="preserve">• AR177 (Default/Foreclosure) = No (if &lt;90 days typically)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 (3)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AR177 (Default/Foreclosure) = Yes</w:t>
            </w:r>
          </w:p>
          <w:p>
            <w:r>
              <w:t xml:space="preserve">• AR178 (Date of Default) must be populated</w:t>
            </w:r>
          </w:p>
          <w:p>
            <w:r>
              <w:t xml:space="preserve">• Typically AR170 &gt;= 3-6 months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Redeemed (4)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AR175 (Redemption Date) must be populated</w:t>
            </w:r>
          </w:p>
          <w:p>
            <w:r>
              <w:t xml:space="preserve">• AR67 (Current Balance) should be 0 or near 0</w:t>
            </w:r>
          </w:p>
          <w:p>
            <w:r>
              <w:t xml:space="preserve">• Remove from next period tape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Repurchased (5)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Document repurchase reason (breach of R&amp;W)</w:t>
            </w:r>
          </w:p>
          <w:p>
            <w:r>
              <w:t xml:space="preserve">• Remove from next period tape</w:t>
            </w:r>
          </w:p>
          <w:p>
            <w:r>
              <w:t xml:space="preserve">• Track repurchase rate for quality assessment</w:t>
            </w:r>
          </w:p>
        </w:tc>
      </w:tr>
    </w:tbl>
    <w:p>
      <w:pPr>
        <w:spacing w:before="180" w:after="120"/>
      </w:pPr>
      <w:r>
        <w:rPr>
          <w:b/>
          <w:bCs/>
        </w:rPr>
        <w:t xml:space="preserve">Arrears Consistency Rules: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IF AR170 = 0, THEN AR169 must = 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IF AR169 &gt; 0, THEN AR170 must be &gt; 0</w:t>
      </w:r>
    </w:p>
    <w:p>
      <w:pPr>
        <w:pStyle w:val="ListParagraph"/>
        <w:numPr>
          <w:ilvl w:val="0"/>
          <w:numId w:val="2"/>
        </w:numPr>
      </w:pPr>
      <w:r>
        <w:t xml:space="preserve">IF AR170 &gt; 0, THEN AR166 must be 'Arrears', 'Default', or worse (not 'Current')</w:t>
      </w:r>
    </w:p>
    <w:p>
      <w:pPr>
        <w:pStyle w:val="ListParagraph"/>
        <w:numPr>
          <w:ilvl w:val="0"/>
          <w:numId w:val="2"/>
        </w:numPr>
      </w:pPr>
      <w:r>
        <w:t xml:space="preserve">Verify arrears progression: AR172 (t-2 months ago) flows to AR171 (t-1 month ago) flows to AR170 (current)</w:t>
      </w:r>
    </w:p>
    <w:p>
      <w:pPr>
        <w:pStyle w:val="ListParagraph"/>
        <w:numPr>
          <w:ilvl w:val="0"/>
          <w:numId w:val="2"/>
        </w:numPr>
      </w:pPr>
      <w:r>
        <w:t xml:space="preserve">Approximate check: AR169 ≈ AR71 × AR170 (±20% tolerance for partial payments, fees)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loan cured (AR170 decreased from previous period), verify AR167 (Date Last Current) is updated</w:t>
      </w:r>
    </w:p>
    <w:p>
      <w:pPr>
        <w:pStyle w:val="Heading2"/>
      </w:pPr>
      <w:r>
        <w:t xml:space="preserve">5.2 Default and Foreclosure Rules</w:t>
      </w:r>
    </w:p>
    <w:p>
      <w:pPr>
        <w:pStyle w:val="ListParagraph"/>
        <w:numPr>
          <w:ilvl w:val="0"/>
          <w:numId w:val="2"/>
        </w:numPr>
      </w:pPr>
      <w:r>
        <w:t xml:space="preserve">IF AR177 = Yes, THEN AR178 (Date of Default) is MANDATORY and must be &gt;= AR55 (Origination Date)</w:t>
      </w:r>
    </w:p>
    <w:p>
      <w:pPr>
        <w:pStyle w:val="ListParagraph"/>
        <w:numPr>
          <w:ilvl w:val="0"/>
          <w:numId w:val="2"/>
        </w:numPr>
      </w:pPr>
      <w:r>
        <w:t xml:space="preserve">IF AR177 = Yes, THEN AR166 must be 'Default' or 'REO' (not 'Current' or 'Arrears' only)</w:t>
      </w:r>
    </w:p>
    <w:p>
      <w:pPr>
        <w:pStyle w:val="ListParagraph"/>
        <w:numPr>
          <w:ilvl w:val="0"/>
          <w:numId w:val="2"/>
        </w:numPr>
      </w:pPr>
      <w:r>
        <w:t xml:space="preserve">IF AR179 (Sale Price) is populated, loan should have been through foreclosure/REO process</w:t>
      </w:r>
    </w:p>
    <w:p>
      <w:pPr>
        <w:pStyle w:val="ListParagraph"/>
        <w:numPr>
          <w:ilvl w:val="0"/>
          <w:numId w:val="2"/>
        </w:numPr>
      </w:pPr>
      <w:r>
        <w:t xml:space="preserve">IF AR179 &gt; 0 AND AR180 (Loss on Sale), verify: Loss = Current Balance + Foreclosure Costs - Sale Price - Recoveries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Defaulted loans must continue reporting for at least one period after default flag, removed only after final resolution</w:t>
      </w:r>
    </w:p>
    <w:p>
      <w:pPr>
        <w:pStyle w:val="Heading1"/>
      </w:pPr>
      <w:r>
        <w:t xml:space="preserve">6. Property Valuation Rules</w:t>
      </w:r>
    </w:p>
    <w:p>
      <w:pPr>
        <w:pStyle w:val="Heading2"/>
      </w:pPr>
      <w:r>
        <w:t xml:space="preserve">6.1 LTV Calculation 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 AR135 (Original LTV) = (AR66 / AR136) × 100 (tolerance: ±0.5%)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Verify: AR141 (Current LTV) = (AR67 / AR143) × 100 (tolerance: ±0.5%)</w:t>
      </w:r>
    </w:p>
    <w:p>
      <w:pPr>
        <w:pStyle w:val="ListParagraph"/>
        <w:numPr>
          <w:ilvl w:val="0"/>
          <w:numId w:val="2"/>
        </w:numPr>
      </w:pPr>
      <w:r>
        <w:t xml:space="preserve">IF AR59 (Purpose) = Purchase, THEN AR136 should be close to AR142 (Purchase Price) - variance &gt;10% requires explanation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AR59 = Remortgage, AR136 may differ significantly from any previous property transaction value</w:t>
      </w:r>
    </w:p>
    <w:p>
      <w:pPr>
        <w:pStyle w:val="Heading2"/>
      </w:pPr>
      <w:r>
        <w:t xml:space="preserve">6.2 Valuation Type Rules</w:t>
      </w:r>
    </w:p>
    <w:p>
      <w:pPr>
        <w:pStyle w:val="ListParagraph"/>
        <w:numPr>
          <w:ilvl w:val="0"/>
          <w:numId w:val="2"/>
        </w:numPr>
      </w:pPr>
      <w:r>
        <w:t xml:space="preserve">IF AR137 (Original Valuation Type) = AVM, THEN AR139 (AVM Confidence Interval) should be populated</w:t>
      </w:r>
    </w:p>
    <w:p>
      <w:pPr>
        <w:pStyle w:val="ListParagraph"/>
        <w:numPr>
          <w:ilvl w:val="0"/>
          <w:numId w:val="2"/>
        </w:numPr>
      </w:pPr>
      <w:r>
        <w:t xml:space="preserve">IF AR137 = AVM AND AR135 (Original LTV) &gt; 75%, flag for review - high LTV typically requires full valuation</w:t>
      </w:r>
    </w:p>
    <w:p>
      <w:pPr>
        <w:pStyle w:val="ListParagraph"/>
        <w:numPr>
          <w:ilvl w:val="0"/>
          <w:numId w:val="2"/>
        </w:numPr>
      </w:pPr>
      <w:r>
        <w:t xml:space="preserve">IF AR144 (Current Valuation Type) = Indexed, verify AR145 (Current Valuation Date) is within 1-2 months of AR1 (Cut-off)</w:t>
      </w:r>
    </w:p>
    <w:p>
      <w:pPr>
        <w:pStyle w:val="ListParagraph"/>
        <w:numPr>
          <w:ilvl w:val="0"/>
          <w:numId w:val="2"/>
        </w:numPr>
      </w:pPr>
      <w:r>
        <w:t xml:space="preserve">IF AR144 = Full Valuation (not indexed), verify there's a valid reason (high LTV, arrears, portfolio review, etc.)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Valuation dates: AR138 should be close to AR55 (Origination); AR145 should be recent (within 2 months of AR1)</w:t>
      </w:r>
    </w:p>
    <w:p>
      <w:pPr>
        <w:pStyle w:val="Heading1"/>
      </w:pPr>
      <w:r>
        <w:t xml:space="preserve">7. Further Advances &amp; Loan Modifications</w:t>
      </w:r>
    </w:p>
    <w:p>
      <w:pPr>
        <w:pStyle w:val="Heading2"/>
      </w:pPr>
      <w:r>
        <w:t xml:space="preserve">7.1 Further Advance Rules</w:t>
      </w:r>
    </w:p>
    <w:p>
      <w:pPr>
        <w:pStyle w:val="ListParagraph"/>
        <w:numPr>
          <w:ilvl w:val="0"/>
          <w:numId w:val="2"/>
        </w:numPr>
      </w:pPr>
      <w:r>
        <w:t xml:space="preserve">IF AR91 (Further Advances Allowed) = Yes, THEN AR90 (Flexible Loan Amount) may be &gt; 0</w:t>
      </w:r>
    </w:p>
    <w:p>
      <w:pPr>
        <w:pStyle w:val="ListParagraph"/>
        <w:numPr>
          <w:ilvl w:val="0"/>
          <w:numId w:val="2"/>
        </w:numPr>
      </w:pPr>
      <w:r>
        <w:t xml:space="preserve">IF AR88 (Further Loan Advance) &gt; 0, THEN AR89 (Further Advance Date) must be populated</w:t>
      </w:r>
    </w:p>
    <w:p>
      <w:pPr>
        <w:pStyle w:val="ListParagraph"/>
        <w:numPr>
          <w:ilvl w:val="0"/>
          <w:numId w:val="2"/>
        </w:numPr>
      </w:pPr>
      <w:r>
        <w:t xml:space="preserve">IF AR88 &gt; 0, verify balance reconciliation: AR67 &lt;= AR66 + AR88 + AR90 (with tolerance for repayments)</w:t>
      </w:r>
    </w:p>
    <w:p>
      <w:pPr>
        <w:pStyle w:val="ListParagraph"/>
        <w:numPr>
          <w:ilvl w:val="0"/>
          <w:numId w:val="2"/>
        </w:numPr>
      </w:pPr>
      <w:r>
        <w:t xml:space="preserve">IF AR88 &gt; 0, THEN AR87 (Maximum Balance) should be &gt;= AR67 (may equal AR66 + AR88)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Further advances should trigger recalculation of LTV - verify AR143 (Current Valuation) reflects updated property value</w:t>
      </w:r>
    </w:p>
    <w:p>
      <w:pPr>
        <w:pStyle w:val="Heading2"/>
      </w:pPr>
      <w:r>
        <w:t xml:space="preserve">7.2 Forbearance and Restructuring</w:t>
      </w:r>
    </w:p>
    <w:p>
      <w:pPr>
        <w:pStyle w:val="ListParagraph"/>
        <w:numPr>
          <w:ilvl w:val="0"/>
          <w:numId w:val="2"/>
        </w:numPr>
      </w:pPr>
      <w:r>
        <w:t xml:space="preserve">IF AR122 (Restructuring Arrangement) = Yes, THEN AR123 (Forbearance Type) must be populated</w:t>
      </w:r>
    </w:p>
    <w:p>
      <w:pPr>
        <w:pStyle w:val="ListParagraph"/>
        <w:numPr>
          <w:ilvl w:val="0"/>
          <w:numId w:val="2"/>
        </w:numPr>
      </w:pPr>
      <w:r>
        <w:t xml:space="preserve">IF AR123 is populated (forbearance active), expect changes to: AR56 (Maturity Date), AR61 (Term), or AR71 (Payment Due)</w:t>
      </w:r>
    </w:p>
    <w:p>
      <w:pPr>
        <w:pStyle w:val="ListParagraph"/>
        <w:numPr>
          <w:ilvl w:val="0"/>
          <w:numId w:val="2"/>
        </w:numPr>
      </w:pPr>
      <w:r>
        <w:t xml:space="preserve">IF AR173 (Performance Arrangement) = Yes, this may indicate payment plan - monitor for cure or default progression</w:t>
      </w:r>
    </w:p>
    <w:p>
      <w:pPr>
        <w:pStyle w:val="ListParagraph"/>
        <w:numPr>
          <w:ilvl w:val="0"/>
          <w:numId w:val="2"/>
        </w:numPr>
      </w:pPr>
      <w:r>
        <w:t xml:space="preserve">Forbearance types typically include: Payment Holiday, Term Extension, Capitalization, Interest-Only Conversion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Track forbearance loans separately - performance differs from clean book; rating agencies apply different treatments</w:t>
      </w:r>
    </w:p>
    <w:p>
      <w:pPr>
        <w:pStyle w:val="Heading1"/>
      </w:pPr>
      <w:r>
        <w:t xml:space="preserve">8. Credit Enhancement &amp; Security</w:t>
      </w:r>
    </w:p>
    <w:p>
      <w:pPr>
        <w:pStyle w:val="Heading2"/>
      </w:pPr>
      <w:r>
        <w:t xml:space="preserve">8.1 Mortgage Insurance Rules</w:t>
      </w:r>
    </w:p>
    <w:p>
      <w:pPr>
        <w:pStyle w:val="ListParagraph"/>
        <w:numPr>
          <w:ilvl w:val="0"/>
          <w:numId w:val="2"/>
        </w:numPr>
      </w:pPr>
      <w:r>
        <w:t xml:space="preserve">IF AR135 (Original LTV) &gt; 80%, THEN typically expect AR78 (MIG Provider) to be populated</w:t>
      </w:r>
    </w:p>
    <w:p>
      <w:pPr>
        <w:pStyle w:val="ListParagraph"/>
        <w:numPr>
          <w:ilvl w:val="0"/>
          <w:numId w:val="2"/>
        </w:numPr>
      </w:pPr>
      <w:r>
        <w:t xml:space="preserve">IF AR78 is populated, THEN AR79 (MIG Attachment Point) must be specified</w:t>
      </w:r>
    </w:p>
    <w:p>
      <w:pPr>
        <w:pStyle w:val="ListParagraph"/>
        <w:numPr>
          <w:ilvl w:val="0"/>
          <w:numId w:val="2"/>
        </w:numPr>
      </w:pPr>
      <w:r>
        <w:t xml:space="preserve">Typical MIG attachment points: 60%, 70%, 75%, 80% LTV - should be &lt;= AR135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AR79 = 80% AND AR135 = 95%, MIG covers exposure from 80-95% (15% of property value)</w:t>
      </w:r>
    </w:p>
    <w:p>
      <w:pPr>
        <w:pStyle w:val="Heading2"/>
      </w:pPr>
      <w:r>
        <w:t xml:space="preserve">8.2 Lien Position Rules</w:t>
      </w:r>
    </w:p>
    <w:p>
      <w:pPr>
        <w:pStyle w:val="ListParagraph"/>
        <w:numPr>
          <w:ilvl w:val="0"/>
          <w:numId w:val="2"/>
        </w:numPr>
      </w:pPr>
      <w:r>
        <w:t xml:space="preserve">IF AR84 (Lien) = Second or Third, verify AR80 (Prior Balances) or AR81 (Other Prior Balances) are populated</w:t>
      </w:r>
    </w:p>
    <w:p>
      <w:pPr>
        <w:pStyle w:val="ListParagraph"/>
        <w:numPr>
          <w:ilvl w:val="0"/>
          <w:numId w:val="2"/>
        </w:numPr>
      </w:pPr>
      <w:r>
        <w:t xml:space="preserve">IF AR84 = Second, calculate Combined LTV = (AR67 + AR80) / AR143 - should be tracked separately</w:t>
      </w:r>
    </w:p>
    <w:p>
      <w:pPr>
        <w:pStyle w:val="ListParagraph"/>
        <w:numPr>
          <w:ilvl w:val="0"/>
          <w:numId w:val="2"/>
        </w:numPr>
      </w:pPr>
      <w:r>
        <w:t xml:space="preserve">IF AR84 = First (expected for prime residential), THEN AR80-81 should be 0 or blank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Second lien positions have materially different loss severities - typically require higher CE in securitizations</w:t>
      </w:r>
    </w:p>
    <w:p>
      <w:pPr>
        <w:pStyle w:val="Heading1"/>
      </w:pPr>
      <w:r>
        <w:t xml:space="preserve">9. Date Sequencing &amp; Temporal Logic</w:t>
      </w:r>
    </w:p>
    <w:p>
      <w:pPr>
        <w:pStyle w:val="Heading2"/>
      </w:pPr>
      <w:r>
        <w:t xml:space="preserve">9.1 Critical Date Sequencing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AR55 (Origination Date) &lt;= AR1 (Cut-off Date) &lt; AR56 (Maturity Date)</w:t>
      </w:r>
    </w:p>
    <w:p>
      <w:pPr>
        <w:pStyle w:val="ListParagraph"/>
        <w:numPr>
          <w:ilvl w:val="0"/>
          <w:numId w:val="2"/>
        </w:numPr>
      </w:pPr>
      <w:r>
        <w:t xml:space="preserve">AR138 (Original Valuation Date) should be within 6 months before or after AR55</w:t>
      </w:r>
    </w:p>
    <w:p>
      <w:pPr>
        <w:pStyle w:val="ListParagraph"/>
        <w:numPr>
          <w:ilvl w:val="0"/>
          <w:numId w:val="2"/>
        </w:numPr>
      </w:pPr>
      <w:r>
        <w:t xml:space="preserve">AR145 (Current Valuation Date) should be within 1-2 months of AR1 (for indexed valuations)</w:t>
      </w:r>
    </w:p>
    <w:p>
      <w:pPr>
        <w:pStyle w:val="ListParagraph"/>
        <w:numPr>
          <w:ilvl w:val="0"/>
          <w:numId w:val="2"/>
        </w:numPr>
      </w:pPr>
      <w:r>
        <w:t xml:space="preserve">AR45 (Bureau Score Date) should be within 3-6 months of AR1 (current period)</w:t>
      </w:r>
    </w:p>
    <w:p>
      <w:pPr>
        <w:pStyle w:val="ListParagraph"/>
        <w:numPr>
          <w:ilvl w:val="0"/>
          <w:numId w:val="2"/>
        </w:numPr>
      </w:pPr>
      <w:r>
        <w:t xml:space="preserve">IF AR89 (Further Advance Date) is populated, THEN AR55 &lt; AR89 &lt;= AR1</w:t>
      </w:r>
    </w:p>
    <w:p>
      <w:pPr>
        <w:pStyle w:val="ListParagraph"/>
        <w:numPr>
          <w:ilvl w:val="0"/>
          <w:numId w:val="2"/>
        </w:numPr>
      </w:pPr>
      <w:r>
        <w:t xml:space="preserve">IF AR178 (Date of Default) is populated, THEN AR55 &lt;= AR178 &lt;= AR1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IF AR175 (Redemption Date) is populated, THEN AR55 &lt;= AR175 &lt;= AR1</w:t>
      </w:r>
    </w:p>
    <w:p>
      <w:pPr>
        <w:pStyle w:val="Heading2"/>
      </w:pPr>
      <w:r>
        <w:t xml:space="preserve">9.2 Term Calculation Validation</w:t>
      </w:r>
    </w:p>
    <w:p>
      <w:pPr>
        <w:pStyle w:val="ListParagraph"/>
        <w:numPr>
          <w:ilvl w:val="0"/>
          <w:numId w:val="2"/>
        </w:numPr>
      </w:pPr>
      <w:r>
        <w:t xml:space="preserve">Original Term (AR61) in months should align with: AR55 + (AR61 months) ≈ original AR56</w:t>
      </w:r>
    </w:p>
    <w:p>
      <w:pPr>
        <w:pStyle w:val="ListParagraph"/>
        <w:numPr>
          <w:ilvl w:val="0"/>
          <w:numId w:val="2"/>
        </w:numPr>
      </w:pPr>
      <w:r>
        <w:t xml:space="preserve">Remaining Term = months between AR1 and AR56 - should decrease each period unless term extension</w:t>
      </w:r>
    </w:p>
    <w:p>
      <w:pPr>
        <w:pStyle w:val="ListParagraph"/>
        <w:numPr>
          <w:ilvl w:val="0"/>
          <w:numId w:val="2"/>
        </w:numPr>
      </w:pPr>
      <w:r>
        <w:t xml:space="preserve">Loan Age (Seasoning) = months between AR55 and AR1 - should increase by 1 each period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Remaining Term increases period-over-period, verify AR122 (Restructuring) = Yes or AR123 (Forbearance) populated</w:t>
      </w:r>
    </w:p>
    <w:p>
      <w:pPr>
        <w:pStyle w:val="Heading1"/>
      </w:pPr>
      <w:r>
        <w:t xml:space="preserve">10. Implementation Guide</w:t>
      </w:r>
    </w:p>
    <w:p>
      <w:pPr>
        <w:pStyle w:val="Heading2"/>
      </w:pPr>
      <w:r>
        <w:t xml:space="preserve">10.1 Automated Validation Approach</w:t>
      </w:r>
    </w:p>
    <w:p>
      <w:pPr>
        <w:spacing w:after="120"/>
      </w:pPr>
      <w:r>
        <w:t xml:space="preserve">Create a validation script (Excel, Python, SQL, or VBA) that systematically checks all rules:</w:t>
      </w:r>
    </w:p>
    <w:p>
      <w:pPr>
        <w:pStyle w:val="ListParagraph"/>
        <w:numPr>
          <w:ilvl w:val="0"/>
          <w:numId w:val="3"/>
        </w:numPr>
      </w:pPr>
      <w:r>
        <w:t xml:space="preserve">Load loan tape into your validation tool</w:t>
      </w:r>
    </w:p>
    <w:p>
      <w:pPr>
        <w:pStyle w:val="ListParagraph"/>
        <w:numPr>
          <w:ilvl w:val="0"/>
          <w:numId w:val="3"/>
        </w:numPr>
      </w:pPr>
      <w:r>
        <w:t xml:space="preserve">Apply each rule category sequentially</w:t>
      </w:r>
    </w:p>
    <w:p>
      <w:pPr>
        <w:pStyle w:val="ListParagraph"/>
        <w:numPr>
          <w:ilvl w:val="0"/>
          <w:numId w:val="3"/>
        </w:numPr>
      </w:pPr>
      <w:r>
        <w:t xml:space="preserve">Flag violations with: Loan ID, Rule Number, Current Values, Expected Values</w:t>
      </w:r>
    </w:p>
    <w:p>
      <w:pPr>
        <w:pStyle w:val="ListParagraph"/>
        <w:numPr>
          <w:ilvl w:val="0"/>
          <w:numId w:val="3"/>
        </w:numPr>
      </w:pPr>
      <w:r>
        <w:t xml:space="preserve">Categorize severity: CRITICAL (data error), WARNING (unusual but possible), INFO (for review)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Generate exception report for servicer review</w:t>
      </w:r>
    </w:p>
    <w:p>
      <w:pPr>
        <w:pStyle w:val="Heading2"/>
      </w:pPr>
      <w:r>
        <w:t xml:space="preserve">10.2 Exception Management Process</w:t>
      </w:r>
    </w:p>
    <w:p>
      <w:pPr>
        <w:pStyle w:val="ListParagraph"/>
        <w:numPr>
          <w:ilvl w:val="0"/>
          <w:numId w:val="3"/>
        </w:numPr>
      </w:pPr>
      <w:r>
        <w:t xml:space="preserve">CRITICAL violations: Must be resolved before accepting tape (e.g., bullet loan with monthly payment)</w:t>
      </w:r>
    </w:p>
    <w:p>
      <w:pPr>
        <w:pStyle w:val="ListParagraph"/>
        <w:numPr>
          <w:ilvl w:val="0"/>
          <w:numId w:val="3"/>
        </w:numPr>
      </w:pPr>
      <w:r>
        <w:t xml:space="preserve">WARNING violations: Require explanation/documentation (e.g., high DTI with full income verification)</w:t>
      </w:r>
    </w:p>
    <w:p>
      <w:pPr>
        <w:pStyle w:val="ListParagraph"/>
        <w:numPr>
          <w:ilvl w:val="0"/>
          <w:numId w:val="3"/>
        </w:numPr>
      </w:pPr>
      <w:r>
        <w:t xml:space="preserve">INFO items: Note for analysis but may not block tape acceptance (e.g., slightly old bureau score)</w:t>
      </w:r>
    </w:p>
    <w:p>
      <w:pPr>
        <w:pStyle w:val="ListParagraph"/>
        <w:numPr>
          <w:ilvl w:val="0"/>
          <w:numId w:val="3"/>
        </w:numPr>
        <w:spacing w:after="180"/>
      </w:pPr>
      <w:r>
        <w:t xml:space="preserve">Maintain audit trail: Document all exceptions, resolutions, and approvals</w:t>
      </w:r>
    </w:p>
    <w:p>
      <w:pPr>
        <w:pStyle w:val="Heading2"/>
      </w:pPr>
      <w:r>
        <w:t xml:space="preserve">10.3 Quality Metrics to Track</w:t>
      </w:r>
    </w:p>
    <w:p>
      <w:pPr>
        <w:pStyle w:val="ListParagraph"/>
        <w:numPr>
          <w:ilvl w:val="0"/>
          <w:numId w:val="3"/>
        </w:numPr>
      </w:pPr>
      <w:r>
        <w:t xml:space="preserve">Error rate by rule category (target: &lt;1% CRITICAL errors)</w:t>
      </w:r>
    </w:p>
    <w:p>
      <w:pPr>
        <w:pStyle w:val="ListParagraph"/>
        <w:numPr>
          <w:ilvl w:val="0"/>
          <w:numId w:val="3"/>
        </w:numPr>
      </w:pPr>
      <w:r>
        <w:t xml:space="preserve">Error rate by originator/servicer (identify systematic issues)</w:t>
      </w:r>
    </w:p>
    <w:p>
      <w:pPr>
        <w:pStyle w:val="ListParagraph"/>
        <w:numPr>
          <w:ilvl w:val="0"/>
          <w:numId w:val="3"/>
        </w:numPr>
      </w:pPr>
      <w:r>
        <w:t xml:space="preserve">Time to resolution (target: &lt;5 business days)</w:t>
      </w:r>
    </w:p>
    <w:p>
      <w:pPr>
        <w:pStyle w:val="ListParagraph"/>
        <w:numPr>
          <w:ilvl w:val="0"/>
          <w:numId w:val="3"/>
        </w:numPr>
      </w:pPr>
      <w:r>
        <w:t xml:space="preserve">Repeat errors (same issue recurring period-over-period)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Data quality trends over time (improving or degrading?)</w:t>
      </w:r>
    </w:p>
    <w:p>
      <w:pPr>
        <w:pStyle w:val="WarningBox"/>
        <w:spacing w:before="360"/>
      </w:pPr>
      <w:r>
        <w:t xml:space="preserve">Remember: Cross-field validation rules are as important as range checks. A loan with perfect individual field values can still be logically inconsistent. These rules protect against subtle data quality issues that could compromise analysis, modeling, and ultimately, deal execution.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ul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C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E74C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  <w:style w:type="paragraph" w:styleId="WarningBox">
    <w:name w:val="Warning Box"/>
    <w:basedOn w:val="Normal"/>
    <w:pPr>
      <w:spacing w:before="120" w:after="120"/>
    </w:pPr>
    <w:rPr>
      <w:rFonts w:ascii="Arial" w:cs="Arial" w:eastAsia="Arial" w:hAnsi="Arial"/>
      <w:b/>
      <w:b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2025-12-03T17:31:24.804Z</dcterms:created>
  <dcterms:modified xsi:type="dcterms:W3CDTF">2025-12-03T17:31:24.805Z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