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Residential Mortgage Loan Tape Training Guide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Bank of England Loan Level Data Template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Junior Team Training Session</w:t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This guide provides comprehensive training on analyzing residential mortgage loan-level data using the Bank of England reporting template. The template contains 233 fields organized across multiple functional areas, with 114 mandatory and 97 optional fields.</w:t>
      </w:r>
    </w:p>
    <w:p>
      <w:pPr>
        <w:spacing w:after="240"/>
      </w:pPr>
      <w:r>
        <w:t xml:space="preserve">Understanding these fields, their input rules, and appropriate sensibility checks is essential for accurate securitization analysis, rating agency submissions, and risk management.</w:t>
      </w:r>
    </w:p>
    <w:p>
      <w:pPr>
        <w:pStyle w:val="Heading1"/>
      </w:pPr>
      <w:r>
        <w:t xml:space="preserve">2. Template Overview</w:t>
      </w:r>
    </w:p>
    <w:p>
      <w:pPr>
        <w:pStyle w:val="Heading2"/>
      </w:pPr>
      <w:r>
        <w:t xml:space="preserve">2.1 Key Concepts</w:t>
      </w:r>
    </w:p>
    <w:p>
      <w:pPr>
        <w:pStyle w:val="BodyEmphasis"/>
        <w:spacing w:after="120"/>
      </w:pPr>
      <w:r>
        <w:t xml:space="preserve">Static vs Dynamic Fields:</w:t>
      </w:r>
    </w:p>
    <w:p>
      <w:pPr>
        <w:pStyle w:val="ListParagraph"/>
        <w:numPr>
          <w:ilvl w:val="0"/>
          <w:numId w:val="2"/>
        </w:numPr>
      </w:pPr>
      <w:r>
        <w:t xml:space="preserve">Static fields (134 total): Captured at origination and generally do not change (e.g., AR55 Loan Origination Date, AR66 Original Balance, AR131 Property Type)</w:t>
      </w:r>
    </w:p>
    <w:p>
      <w:pPr>
        <w:pStyle w:val="ListParagraph"/>
        <w:numPr>
          <w:ilvl w:val="0"/>
          <w:numId w:val="2"/>
        </w:numPr>
      </w:pPr>
      <w:r>
        <w:t xml:space="preserve">Dynamic fields (77 total): Updated at each reporting period to reflect current status (e.g., AR67 Current Balance, AR109 Current Interest Rate, AR169 Arrears Balance)</w:t>
      </w:r>
    </w:p>
    <w:p>
      <w:pPr>
        <w:pStyle w:val="BodyEmphasis"/>
        <w:spacing w:before="120" w:after="120"/>
      </w:pPr>
      <w:r>
        <w:t xml:space="preserve">Priority Levels:</w:t>
      </w:r>
    </w:p>
    <w:p>
      <w:pPr>
        <w:pStyle w:val="ListParagraph"/>
        <w:numPr>
          <w:ilvl w:val="0"/>
          <w:numId w:val="2"/>
        </w:numPr>
      </w:pPr>
      <w:r>
        <w:t xml:space="preserve">Mandatory fields: Must be populated for every loan unless genuinely not applicable</w:t>
      </w:r>
    </w:p>
    <w:p>
      <w:pPr>
        <w:pStyle w:val="ListParagraph"/>
        <w:numPr>
          <w:ilvl w:val="0"/>
          <w:numId w:val="2"/>
        </w:numPr>
      </w:pPr>
      <w:r>
        <w:t xml:space="preserve">Optional fields: Provide on 'comply or explain' basis if data is held and its provision does not breach Data Protection legislation</w:t>
      </w:r>
    </w:p>
    <w:p>
      <w:pPr>
        <w:pStyle w:val="Heading2"/>
      </w:pPr>
      <w:r>
        <w:t xml:space="preserve">2.2 Reporting Requirements</w:t>
      </w:r>
    </w:p>
    <w:p>
      <w:pPr>
        <w:pStyle w:val="ListParagraph"/>
        <w:numPr>
          <w:ilvl w:val="0"/>
          <w:numId w:val="2"/>
        </w:numPr>
      </w:pPr>
      <w:r>
        <w:t xml:space="preserve">Raw loan pools: Monthly reporting within 10 working days of cut-off date</w:t>
      </w:r>
    </w:p>
    <w:p>
      <w:pPr>
        <w:pStyle w:val="ListParagraph"/>
        <w:numPr>
          <w:ilvl w:val="0"/>
          <w:numId w:val="2"/>
        </w:numPr>
      </w:pPr>
      <w:r>
        <w:t xml:space="preserve">RMBS transactions: Quarterly reporting minimum</w:t>
      </w:r>
    </w:p>
    <w:p>
      <w:pPr>
        <w:pStyle w:val="ListParagraph"/>
        <w:numPr>
          <w:ilvl w:val="0"/>
          <w:numId w:val="2"/>
        </w:numPr>
      </w:pPr>
      <w:r>
        <w:t xml:space="preserve">File format: Excel 2007+ (XLSX), CSV, or TXT; max 150MB per file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Column headers: Use AR codes only (no field names or descriptions)</w:t>
      </w:r>
    </w:p>
    <w:p>
      <w:r>
        <w:br w:type="page"/>
      </w:r>
    </w:p>
    <w:p>
      <w:pPr>
        <w:pStyle w:val="Heading1"/>
      </w:pPr>
      <w:r>
        <w:t xml:space="preserve">3. Critical Fields by Functional Area</w:t>
      </w:r>
    </w:p>
    <w:p>
      <w:pPr>
        <w:pStyle w:val="Heading2"/>
      </w:pPr>
      <w:r>
        <w:t xml:space="preserve">3.1 Administrative &amp; Identification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 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Pool Cut-off 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Mandatory/Dynamic. Date format: YYYY-MM-DD. Must be the run date (data production date), not submission date. Critical for waterfalls and performance analysis.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Pool Identifier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Mandatory/Static. Unique identifier for the pool/transaction. Must remain consistent across all reporting periods.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Loan Identifier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Mandatory/Static. Unique loan reference. Must be persistent across reporting periods. Check for duplicates within same cut-off date.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Originator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Mandatory/Static. Entity that originated the loan. Essential for credit quality assessment and representations &amp; warranties.</w:t>
            </w:r>
          </w:p>
        </w:tc>
      </w:tr>
    </w:tbl>
    <w:p>
      <w:pPr>
        <w:spacing w:before="180"/>
      </w:pPr>
    </w:p>
    <w:p>
      <w:pPr>
        <w:pStyle w:val="Heading2"/>
      </w:pPr>
      <w:r>
        <w:t xml:space="preserve">3.2 Borrower Profile &amp; Income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 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 of Debtors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Mandatory/Static. Typically 1 or 2. Must reconcile with second borrower fields (AR189-207). If 2, second borrower data must be populated.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Borrower Employment 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Mandatory/Static. Values: Employed, Self-Employed, Retired, Unemployed, Student, etc. Critical for underwriting quality and default analysis.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Income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Mandatory/Static. Numeric value in loan currency. Used to calculate DTI and DSCR. Must be &gt; 0 for owner-occupied properties. Verify reasonableness vs property value.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Income Verification - Primary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Mandatory/Static. Values: Full, Basic, None, Self-Certified. Critical for credit quality. Full verification expected for prime pools.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Debt to Income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Optional/Static. Percentage (e.g., 35.5 for 35.5%). Sensibility: Typically 20-50% for prime, higher for near-prime. Values &gt;100% require investigation.</w:t>
            </w:r>
          </w:p>
        </w:tc>
      </w:tr>
    </w:tbl>
    <w:p>
      <w:pPr>
        <w:spacing w:before="180"/>
      </w:pPr>
    </w:p>
    <w:p>
      <w:pPr>
        <w:pStyle w:val="Heading2"/>
      </w:pPr>
      <w:r>
        <w:t xml:space="preserve">3.3 Credit History &amp; Scoring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 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AR31-34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CCJ Count &amp; Value (Satisfied/Unsatisfied)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Mandatory/Static. Integer for count, numeric for value. Check: Count should correlate with value. Prime pools should have minimal CCJs.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Bankruptcy/IVA Flag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Mandatory/Dynamic. Boolean (Yes/No). Serious credit event. If Yes, verify dates and check if cured. Cross-check with bureau scores.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AR43-46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Bureau Score (Provider/Type/Date/Value)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Mandatory/Dynamic. Score must be current (typically within 3-6 months of cut-off). Verify score range matches provider (e.g., Experian 0-999, Equifax 0-700). Low scores (&lt;600) require additional scrutiny.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AR47-49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Prior Repossessions &amp; Arrears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Optional/Static. Boolean or count. Adverse credit indicators. If present, should be reflected in lower bureau scores and may impact rating agency credit enhancement.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Loan Characteristics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 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Loan Origination 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Mandatory/Static. Date format: YYYY-MM-DD. Must be &lt;= AR1 (Cut-off Date). Used to calculate loan age and seasoning. Critical for prepayment and default modeling.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of Loan Maturity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Mandatory/Dynamic. Date format: YYYY-MM-DD. Must be &gt; AR1. Verify consistency with AR61 (Loan Term) and AR55 (Origination). Updates with rate changes or term extensions.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Purpose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Mandatory/Static. Values: Purchase, Remortgage, Further Advance, Home Improvement, Equity Release, etc. Cross-check with AR130 (Occupancy Type) for consistency.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Loan Term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Mandatory/Static. Integer (months). Typical UK: 300-360 months (25-30 years). Sensibility: 60-480 months. Verify vs maturity date calculation.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Original Balance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Mandatory/Static. Numeric in loan currency. Must be &gt; 0. Critical for LTV calculation with AR136 (Valuation Amount). Verify sum matches pool totals.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 Balance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Mandatory/Dynamic. Numeric. Must be &lt;= AR66 unless further advances. Critical for cash flow modeling. Check: Current &lt;= Original + Further Advances.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Repayment Method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Mandatory/Static. Values: Repayment, Interest Only, Part &amp; Part. Interest-only loans have higher prepayment and default risk. Verify consistency with payment calculations.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Payment Due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Mandatory/Dynamic. Numeric. Calculate expected payment: verify against AR67, AR109, AR70. Must be &gt; 0. Used for DSC and affordability checks.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AR84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Mandatory/Static. Values: First, Second, Third. Critical for security and recovery analysis. First lien expected for prime pools. Second liens have significantly different loss severities.</w:t>
            </w:r>
          </w:p>
        </w:tc>
      </w:tr>
    </w:tbl>
    <w:p>
      <w:pPr>
        <w:spacing w:before="180"/>
      </w:pPr>
    </w:p>
    <w:p>
      <w:pPr>
        <w:pStyle w:val="Heading2"/>
      </w:pPr>
      <w:r>
        <w:t xml:space="preserve">3.5 Interest Rate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 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AR107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Interest Rate 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Mandatory/Static. Values: Fixed, Variable, Capped, Tracker, Discount, etc. Determines rate behavior and cash flow volatility. Critical for basis risk assessment.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AR108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 Interest Rate Index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Mandatory/Dynamic. Values: SONIA, BoE Base Rate, LIBOR (legacy), SVR, Fixed. Must be consistent with AR107. For trackers, verify index + margin = current rate.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AR109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 Interest Rate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Mandatory/Dynamic. Percentage (e.g., 4.5 for 4.5%). Must be &gt; 0. Sensibility: 0.5%-15% typical. Cross-check: AR109 should approximately equal AR108 + AR110 for variable.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AR110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 Interest Rate Margin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Mandatory/Dynamic. Percentage. Can be positive or negative. Sensibility: -2% to +5% typical. For fixed rates, may be blank or zero.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AR113-117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Interest Revision Dates &amp; Margins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Mandatory/Dynamic. Step-up mortgages: specify future rate changes. Dates must be chronological and &gt; AR1. Critical for cash flow projections and prepayment modeling.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3.6 Property Details &amp; Valuation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 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AR128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Geographic Region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Mandatory/Static. UK: Use standard regions (London, South East, etc.). Critical for HPI indexing and concentration risk. Verify geographic distribution vs transaction expectations.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AR129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Property Postcode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Optional/Static. UK format: AA9A 9AA or AA99 9AA. May be truncated to first 3-4 characters for privacy. Used for granular geographic analysis and AVM valuations.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AR130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Occupancy 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Mandatory/Static. Values: Owner Occupied, Buy-to-Let, Second Home, Investment, Holiday Let. BTL requires AR154-156 populated. Different performance characteristics by type.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AR131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Property 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Mandatory/Static. Values: Detached, Semi-Detached, Terraced, Flat/Apartment, Bungalow, etc. Affects liquidity and recovery values. Flats may require additional leasehold checks.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AR135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Original Loan to Value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Mandatory/Static. Percentage. Calculate: (AR66/AR136)*100. Sensibility: 10%-95%. Prime typically &lt;=80%, Near-prime up to 95%. Critical credit metric for rating agencies.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AR136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Valuation Amount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Mandatory/Static. Numeric. Original valuation at underwriting. Must be &gt; 0. Cross-check with AR135 calculation. Verify consistency with AR142 (Purchase Price) if purchase mortgage.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AR137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Original Valuation 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Mandatory/Static. Values: Full, Drive-by, Desktop, AVM, etc. Full valuations preferred for high LTV. AVM requires confidence interval (AR139). Impacts recovery analysis.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AR141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 Loan to Value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Mandatory/Dynamic. Percentage. Calculate: (AR67/AR143)*100. Critical for loss severity modeling. Track indexed vs current valuation methods. High CLTVs (&gt;100%) indicate negative equity risk.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AR143-145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 Valuation (Amount/Type/Date)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Mandatory/Dynamic. Must be current (typically indexed monthly). Indexed valuations use HPI. Date should match cut-off ±1 month. Critical for CLTV accuracy and surveillance.</w:t>
            </w:r>
          </w:p>
        </w:tc>
      </w:tr>
    </w:tbl>
    <w:p>
      <w:pPr>
        <w:spacing w:before="180"/>
      </w:pPr>
    </w:p>
    <w:p>
      <w:pPr>
        <w:pStyle w:val="Heading2"/>
      </w:pPr>
      <w:r>
        <w:t xml:space="preserve">3.7 Performance &amp; Arrears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00"/>
        <w:gridCol w:w="3000"/>
        <w:gridCol w:w="4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 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AR166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Account 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Mandatory/Dynamic. Values: Current, Arrears, Default, Redeemed, Repurchased. Must reconcile with AR169-170. Track transitions. Defaulted loans continue reporting until final resolution.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AR169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Arrears Balance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Mandatory/Dynamic. Numeric. Amount overdue in loan currency. Should be 0 if AR166=Current. Verify vs AR71 (Payment Due) × AR170. Critical for delinquency analysis.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AR170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 Months in Arrears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Mandatory/Dynamic. Integer (0-999). Bucket definitions: 0=current, 1-2=early, 3-5=moderate, 6+=serious. Check: If AR169&gt;0 then AR170&gt;0. Track delinquency roll rates.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AR171-172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Arrears 1-2 Months Ago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Mandatory/Dynamic. Integer. Historical arrears months. Critical for calculating CDR, roll rates, and cures. Must be consistent: AR172 last period should equal AR171 this period.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AR173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Performance Arrangement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Mandatory/Dynamic. Boolean. Indicates payment plan or workout arrangement. Track separately from standard arrears. May affect delinquency triggers and note rating.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AR177-178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Default/Foreclosure &amp; 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Mandatory/Dynamic. Boolean + Date. Default typically triggered at 90-180 days delinquent. Date must be &gt;= origination. Track timing to REO and loss severity from this trigger date.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Input Rules &amp; Data Formats</w:t>
      </w:r>
    </w:p>
    <w:p>
      <w:pPr>
        <w:pStyle w:val="Heading2"/>
      </w:pPr>
      <w:r>
        <w:t xml:space="preserve">4.1 Date Formats</w:t>
      </w:r>
    </w:p>
    <w:p>
      <w:pPr>
        <w:pStyle w:val="ListParagraph"/>
        <w:numPr>
          <w:ilvl w:val="0"/>
          <w:numId w:val="2"/>
        </w:numPr>
      </w:pPr>
      <w:r>
        <w:t xml:space="preserve">All dates must be in ISO 8601 format: YYYY-MM-DD (e.g., 2024-03-15)</w:t>
      </w:r>
    </w:p>
    <w:p>
      <w:pPr>
        <w:pStyle w:val="ListParagraph"/>
        <w:numPr>
          <w:ilvl w:val="0"/>
          <w:numId w:val="2"/>
        </w:numPr>
      </w:pPr>
      <w:r>
        <w:t xml:space="preserve">Dates cannot be in the future (except maturity dates and scheduled rate revision dates)</w:t>
      </w:r>
    </w:p>
    <w:p>
      <w:pPr>
        <w:pStyle w:val="ListParagraph"/>
        <w:numPr>
          <w:ilvl w:val="0"/>
          <w:numId w:val="2"/>
        </w:numPr>
      </w:pPr>
      <w:r>
        <w:t xml:space="preserve">Origination Date (AR55) must be &lt;= Cut-off Date (AR1)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Maturity Date (AR56) must be &gt; Cut-off Date (AR1)</w:t>
      </w:r>
    </w:p>
    <w:p>
      <w:pPr>
        <w:pStyle w:val="Heading2"/>
      </w:pPr>
      <w:r>
        <w:t xml:space="preserve">4.2 Numeric Formats</w:t>
      </w:r>
    </w:p>
    <w:p>
      <w:pPr>
        <w:pStyle w:val="ListParagraph"/>
        <w:numPr>
          <w:ilvl w:val="0"/>
          <w:numId w:val="2"/>
        </w:numPr>
      </w:pPr>
      <w:r>
        <w:t xml:space="preserve">Monetary amounts: Use actual currency values without symbols (e.g., 250000.00 for £250,000)</w:t>
      </w:r>
    </w:p>
    <w:p>
      <w:pPr>
        <w:pStyle w:val="ListParagraph"/>
        <w:numPr>
          <w:ilvl w:val="0"/>
          <w:numId w:val="2"/>
        </w:numPr>
      </w:pPr>
      <w:r>
        <w:t xml:space="preserve">Percentages: Use decimal notation without % symbol (e.g., 4.5 for 4.5%, not 0.045)</w:t>
      </w:r>
    </w:p>
    <w:p>
      <w:pPr>
        <w:pStyle w:val="ListParagraph"/>
        <w:numPr>
          <w:ilvl w:val="0"/>
          <w:numId w:val="2"/>
        </w:numPr>
      </w:pPr>
      <w:r>
        <w:t xml:space="preserve">Integers: Whole numbers only for count fields (e.g., AR19 Number of Debtors, AR170 Months in Arrears)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Use consistent decimal precision: 2 decimal places for currency, up to 5 for percentages</w:t>
      </w:r>
    </w:p>
    <w:p>
      <w:pPr>
        <w:pStyle w:val="Heading2"/>
      </w:pPr>
      <w:r>
        <w:t xml:space="preserve">4.3 Text &amp; Categorical Fields</w:t>
      </w:r>
    </w:p>
    <w:p>
      <w:pPr>
        <w:pStyle w:val="ListParagraph"/>
        <w:numPr>
          <w:ilvl w:val="0"/>
          <w:numId w:val="2"/>
        </w:numPr>
      </w:pPr>
      <w:r>
        <w:t xml:space="preserve">Use exact values from template pick lists where specified (e.g., Employment Status: Employed, Self-Employed, etc.)</w:t>
      </w:r>
    </w:p>
    <w:p>
      <w:pPr>
        <w:pStyle w:val="ListParagraph"/>
        <w:numPr>
          <w:ilvl w:val="0"/>
          <w:numId w:val="2"/>
        </w:numPr>
      </w:pPr>
      <w:r>
        <w:t xml:space="preserve">Case-sensitive: Maintain consistent capitalization (preferably Title Case for categories)</w:t>
      </w:r>
    </w:p>
    <w:p>
      <w:pPr>
        <w:pStyle w:val="ListParagraph"/>
        <w:numPr>
          <w:ilvl w:val="0"/>
          <w:numId w:val="2"/>
        </w:numPr>
      </w:pPr>
      <w:r>
        <w:t xml:space="preserve">No special characters in identifiers (AR2, AR3) except hyphens and underscores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Geographic regions: Use standard designations (London, South East, Scotland, etc.)</w:t>
      </w:r>
    </w:p>
    <w:p>
      <w:pPr>
        <w:pStyle w:val="Heading2"/>
      </w:pPr>
      <w:r>
        <w:t xml:space="preserve">4.4 Boolean Fields</w:t>
      </w:r>
    </w:p>
    <w:p>
      <w:pPr>
        <w:pStyle w:val="ListParagraph"/>
        <w:numPr>
          <w:ilvl w:val="0"/>
          <w:numId w:val="2"/>
        </w:numPr>
      </w:pPr>
      <w:r>
        <w:t xml:space="preserve">Use consistent notation: Yes/No, True/False, or 1/0 as specified in template</w:t>
      </w:r>
    </w:p>
    <w:p>
      <w:pPr>
        <w:pStyle w:val="ListParagraph"/>
        <w:numPr>
          <w:ilvl w:val="0"/>
          <w:numId w:val="2"/>
        </w:numPr>
      </w:pPr>
      <w:r>
        <w:t xml:space="preserve">Empty cells for boolean fields should be interpreted as False/No unless specified otherwise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Examples: AR36 Bankruptcy Flag, AR91 Further Advances, AR122 Restructuring Arrangement</w:t>
      </w:r>
    </w:p>
    <w:p>
      <w:pPr>
        <w:pStyle w:val="Heading2"/>
      </w:pPr>
      <w:r>
        <w:t xml:space="preserve">4.5 Blank vs Zero vs Null</w:t>
      </w:r>
    </w:p>
    <w:p>
      <w:pPr>
        <w:pStyle w:val="ListParagraph"/>
        <w:numPr>
          <w:ilvl w:val="0"/>
          <w:numId w:val="2"/>
        </w:numPr>
      </w:pPr>
      <w:r>
        <w:t xml:space="preserve">Blank: Data not collected or not applicable (acceptable for Optional fields only)</w:t>
      </w:r>
    </w:p>
    <w:p>
      <w:pPr>
        <w:pStyle w:val="ListParagraph"/>
        <w:numPr>
          <w:ilvl w:val="0"/>
          <w:numId w:val="2"/>
        </w:numPr>
      </w:pPr>
      <w:r>
        <w:t xml:space="preserve">Zero: Valid value meaning 'none' (e.g., AR31 CCJ Count = 0 means no CCJs)</w:t>
      </w:r>
    </w:p>
    <w:p>
      <w:pPr>
        <w:pStyle w:val="ListParagraph"/>
        <w:numPr>
          <w:ilvl w:val="0"/>
          <w:numId w:val="2"/>
        </w:numPr>
      </w:pPr>
      <w:r>
        <w:t xml:space="preserve">Never leave Mandatory fields blank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For 'Not Applicable': Use explicit values like 'N/A' or 'Not Applicable' where text expected, or 0 where numeric expected</w:t>
      </w:r>
    </w:p>
    <w:p>
      <w:r>
        <w:br w:type="page"/>
      </w:r>
    </w:p>
    <w:p>
      <w:pPr>
        <w:pStyle w:val="Heading1"/>
      </w:pPr>
      <w:r>
        <w:t xml:space="preserve">5. Sensibility Checks &amp; Validation</w:t>
      </w:r>
    </w:p>
    <w:p>
      <w:pPr>
        <w:pStyle w:val="Heading2"/>
      </w:pPr>
      <w:r>
        <w:t xml:space="preserve">5.1 Cross-Field Consistency Checks</w:t>
      </w:r>
    </w:p>
    <w:p>
      <w:pPr>
        <w:pStyle w:val="BodyEmphasis"/>
        <w:spacing w:after="120"/>
      </w:pPr>
      <w:r>
        <w:t xml:space="preserve">Balance Reconciliation:</w:t>
      </w:r>
    </w:p>
    <w:p>
      <w:pPr>
        <w:pStyle w:val="ListParagraph"/>
        <w:numPr>
          <w:ilvl w:val="0"/>
          <w:numId w:val="2"/>
        </w:numPr>
      </w:pPr>
      <w:r>
        <w:t xml:space="preserve">Current Balance (AR67) &lt;= Original Balance (AR66) + Further Advances (AR88) + Flexible Amount (AR90)</w:t>
      </w:r>
    </w:p>
    <w:p>
      <w:pPr>
        <w:pStyle w:val="ListParagraph"/>
        <w:numPr>
          <w:ilvl w:val="0"/>
          <w:numId w:val="2"/>
        </w:numPr>
      </w:pPr>
      <w:r>
        <w:t xml:space="preserve">Current Balance should generally decrease over time for repayment mortgages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For interest-only: Current Balance may remain relatively constant</w:t>
      </w:r>
    </w:p>
    <w:p>
      <w:pPr>
        <w:pStyle w:val="BodyEmphasis"/>
        <w:spacing w:after="120"/>
      </w:pPr>
      <w:r>
        <w:t xml:space="preserve">LTV Consistency:</w:t>
      </w:r>
    </w:p>
    <w:p>
      <w:pPr>
        <w:pStyle w:val="ListParagraph"/>
        <w:numPr>
          <w:ilvl w:val="0"/>
          <w:numId w:val="2"/>
        </w:numPr>
      </w:pPr>
      <w:r>
        <w:t xml:space="preserve">Original LTV (AR135) = (Original Balance / Original Valuation) × 100</w:t>
      </w:r>
    </w:p>
    <w:p>
      <w:pPr>
        <w:pStyle w:val="ListParagraph"/>
        <w:numPr>
          <w:ilvl w:val="0"/>
          <w:numId w:val="2"/>
        </w:numPr>
      </w:pPr>
      <w:r>
        <w:t xml:space="preserve">Current LTV (AR141) = (Current Balance / Current Valuation) × 100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Tolerance: Allow ±0.5% variance for rounding</w:t>
      </w:r>
    </w:p>
    <w:p>
      <w:pPr>
        <w:pStyle w:val="BodyEmphasis"/>
        <w:spacing w:after="120"/>
      </w:pPr>
      <w:r>
        <w:t xml:space="preserve">Interest Rate Calculations:</w:t>
      </w:r>
    </w:p>
    <w:p>
      <w:pPr>
        <w:pStyle w:val="ListParagraph"/>
        <w:numPr>
          <w:ilvl w:val="0"/>
          <w:numId w:val="2"/>
        </w:numPr>
      </w:pPr>
      <w:r>
        <w:t xml:space="preserve">For variable/tracker: Current Rate (AR109) should approximately equal Index (AR108) + Margin (AR110)</w:t>
      </w:r>
    </w:p>
    <w:p>
      <w:pPr>
        <w:pStyle w:val="ListParagraph"/>
        <w:numPr>
          <w:ilvl w:val="0"/>
          <w:numId w:val="2"/>
        </w:numPr>
      </w:pPr>
      <w:r>
        <w:t xml:space="preserve">Tolerance: ±0.25% for timing differences between index reset dates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For fixed: Margin may be blank, index should be 'Fixed'</w:t>
      </w:r>
    </w:p>
    <w:p>
      <w:pPr>
        <w:pStyle w:val="BodyEmphasis"/>
        <w:spacing w:after="120"/>
      </w:pPr>
      <w:r>
        <w:t xml:space="preserve">Payment Calculation Check:</w:t>
      </w:r>
    </w:p>
    <w:p>
      <w:pPr>
        <w:pStyle w:val="ListParagraph"/>
        <w:numPr>
          <w:ilvl w:val="0"/>
          <w:numId w:val="2"/>
        </w:numPr>
      </w:pPr>
      <w:r>
        <w:t xml:space="preserve">Approximate monthly payment = [Current Balance × (Rate/12)] / [1 - (1 + Rate/12)^(-Remaining Term)]</w:t>
      </w:r>
    </w:p>
    <w:p>
      <w:pPr>
        <w:pStyle w:val="ListParagraph"/>
        <w:numPr>
          <w:ilvl w:val="0"/>
          <w:numId w:val="2"/>
        </w:numPr>
      </w:pPr>
      <w:r>
        <w:t xml:space="preserve">For interest-only: Payment = Current Balance × (Rate/12)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Tolerance: ±5% to account for payment changes, capitalised arrears, etc.</w:t>
      </w:r>
    </w:p>
    <w:p>
      <w:pPr>
        <w:pStyle w:val="BodyEmphasis"/>
        <w:spacing w:after="120"/>
      </w:pPr>
      <w:r>
        <w:t xml:space="preserve">Arrears Consistency:</w:t>
      </w:r>
    </w:p>
    <w:p>
      <w:pPr>
        <w:pStyle w:val="ListParagraph"/>
        <w:numPr>
          <w:ilvl w:val="0"/>
          <w:numId w:val="2"/>
        </w:numPr>
      </w:pPr>
      <w:r>
        <w:t xml:space="preserve">If Months in Arrears (AR170) = 0, then Arrears Balance (AR169) should = 0</w:t>
      </w:r>
    </w:p>
    <w:p>
      <w:pPr>
        <w:pStyle w:val="ListParagraph"/>
        <w:numPr>
          <w:ilvl w:val="0"/>
          <w:numId w:val="2"/>
        </w:numPr>
      </w:pPr>
      <w:r>
        <w:t xml:space="preserve">If Months in Arrears &gt; 0, then Account Status (AR166) should be 'Arrears' or worse</w:t>
      </w:r>
    </w:p>
    <w:p>
      <w:pPr>
        <w:pStyle w:val="ListParagraph"/>
        <w:numPr>
          <w:ilvl w:val="0"/>
          <w:numId w:val="2"/>
        </w:numPr>
      </w:pPr>
      <w:r>
        <w:t xml:space="preserve">Arrears Balance should approximately equal Payment Due × Months in Arrears (±20% tolerance)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Check arrears progression: AR172 (t-2) &lt;= AR171 (t-1) &lt;= AR170 (t) unless cured</w:t>
      </w:r>
    </w:p>
    <w:p>
      <w:pPr>
        <w:pStyle w:val="BodyEmphasis"/>
        <w:spacing w:after="120"/>
      </w:pPr>
      <w:r>
        <w:t xml:space="preserve">Borrower Information:</w:t>
      </w:r>
    </w:p>
    <w:p>
      <w:pPr>
        <w:pStyle w:val="ListParagraph"/>
        <w:numPr>
          <w:ilvl w:val="0"/>
          <w:numId w:val="2"/>
        </w:numPr>
      </w:pPr>
      <w:r>
        <w:t xml:space="preserve">If Number of Debtors (AR19) = 2, then second borrower fields (AR189-207) must be populated</w:t>
      </w:r>
    </w:p>
    <w:p>
      <w:pPr>
        <w:pStyle w:val="ListParagraph"/>
        <w:numPr>
          <w:ilvl w:val="0"/>
          <w:numId w:val="2"/>
        </w:numPr>
      </w:pPr>
      <w:r>
        <w:t xml:space="preserve">If Number of Debtors = 1, second borrower fields should be blank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Year of Birth (AR18): Should imply age 18-90 at origination</w:t>
      </w:r>
    </w:p>
    <w:p>
      <w:pPr>
        <w:pStyle w:val="Heading2"/>
      </w:pPr>
      <w:r>
        <w:t xml:space="preserve">5.2 Range &amp; Reasonableness Checks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2280"/>
        <w:gridCol w:w="4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 Category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Range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Investigation Triggers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Original LTV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10% - 95%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&lt;10%: Verify not a 2nd lien. &gt;95%: Check for guarantees/MIG. &gt;100%: Data error.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Current LTV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5% - 150%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&gt;150%: Severe negative equity. &lt;5%: Near full repayment (verify balance correct).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Interest Rate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0.5% - 15%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&lt;0.5%: Verify promotional rate or subsidy. &gt;15%: Sub-prime or specialist product.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DTI Ratio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20% - 50%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&lt;20%: Low leverage (good). &gt;50%: High stress (verify). &gt;100%: Data error or specialist.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BTL DSCR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100% - 200%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&lt;100%: Negative cash flow. Typical requirement: 125%-145% minimum.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Loan Term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60 - 480 months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&lt;60: Short term (5 yrs), unusual. &gt;360: Long term (&gt;30 yrs), verify intentional.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Bureau Score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Provider-specific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Experian: 0-999, Equifax: 0-700. &lt;600: Sub-prime territory. Verify score matches provider range.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Property Value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£50k - £5M typical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&lt;£50k: Non-conforming. &gt;£5M: Prime/super-prime, check valuation method. Geographic variance matters.</w:t>
            </w:r>
          </w:p>
        </w:tc>
      </w:tr>
    </w:tbl>
    <w:p>
      <w:pPr>
        <w:spacing w:before="180"/>
      </w:pPr>
    </w:p>
    <w:p>
      <w:pPr>
        <w:pStyle w:val="Heading2"/>
      </w:pPr>
      <w:r>
        <w:t xml:space="preserve">5.3 Temporal &amp; Progression Checks</w:t>
      </w:r>
    </w:p>
    <w:p>
      <w:pPr>
        <w:pStyle w:val="BodyEmphasis"/>
        <w:spacing w:after="120"/>
      </w:pPr>
      <w:r>
        <w:t xml:space="preserve">Date Sequencing:</w:t>
      </w:r>
    </w:p>
    <w:p>
      <w:pPr>
        <w:pStyle w:val="ListParagraph"/>
        <w:numPr>
          <w:ilvl w:val="0"/>
          <w:numId w:val="2"/>
        </w:numPr>
      </w:pPr>
      <w:r>
        <w:t xml:space="preserve">Origination Date &lt;= Cut-off Date &lt; Maturity Date</w:t>
      </w:r>
    </w:p>
    <w:p>
      <w:pPr>
        <w:pStyle w:val="ListParagraph"/>
        <w:numPr>
          <w:ilvl w:val="0"/>
          <w:numId w:val="2"/>
        </w:numPr>
      </w:pPr>
      <w:r>
        <w:t xml:space="preserve">Original Valuation Date should be close to Origination Date (within 6 months)</w:t>
      </w:r>
    </w:p>
    <w:p>
      <w:pPr>
        <w:pStyle w:val="ListParagraph"/>
        <w:numPr>
          <w:ilvl w:val="0"/>
          <w:numId w:val="2"/>
        </w:numPr>
      </w:pPr>
      <w:r>
        <w:t xml:space="preserve">Current Valuation Date should be recent (within 1-2 months of Cut-off Date)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Bureau Score Date should be current (within 3-6 months)</w:t>
      </w:r>
    </w:p>
    <w:p>
      <w:pPr>
        <w:pStyle w:val="BodyEmphasis"/>
        <w:spacing w:after="120"/>
      </w:pPr>
      <w:r>
        <w:t xml:space="preserve">Period-over-Period Checks:</w:t>
      </w:r>
    </w:p>
    <w:p>
      <w:pPr>
        <w:pStyle w:val="ListParagraph"/>
        <w:numPr>
          <w:ilvl w:val="0"/>
          <w:numId w:val="2"/>
        </w:numPr>
      </w:pPr>
      <w:r>
        <w:t xml:space="preserve">Current Balance should not increase substantially (&gt;5%) without further advances</w:t>
      </w:r>
    </w:p>
    <w:p>
      <w:pPr>
        <w:pStyle w:val="ListParagraph"/>
        <w:numPr>
          <w:ilvl w:val="0"/>
          <w:numId w:val="2"/>
        </w:numPr>
      </w:pPr>
      <w:r>
        <w:t xml:space="preserve">Arrears progression: AR172 (t-2) should flow to AR171 (t-1) which flows to AR170 (t)</w:t>
      </w:r>
    </w:p>
    <w:p>
      <w:pPr>
        <w:pStyle w:val="ListParagraph"/>
        <w:numPr>
          <w:ilvl w:val="0"/>
          <w:numId w:val="2"/>
        </w:numPr>
      </w:pPr>
      <w:r>
        <w:t xml:space="preserve">Account Status transitions: Track Current → Arrears → Default path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Property valuations: Major changes (&gt;20%) period-over-period require investigation</w:t>
      </w:r>
    </w:p>
    <w:p>
      <w:pPr>
        <w:pStyle w:val="BodyEmphasis"/>
        <w:spacing w:after="120"/>
      </w:pPr>
      <w:r>
        <w:t xml:space="preserve">Seasoning Analysis:</w:t>
      </w:r>
    </w:p>
    <w:p>
      <w:pPr>
        <w:pStyle w:val="ListParagraph"/>
        <w:numPr>
          <w:ilvl w:val="0"/>
          <w:numId w:val="2"/>
        </w:numPr>
      </w:pPr>
      <w:r>
        <w:t xml:space="preserve">Calculate loan age: (Cut-off Date - Origination Date) in months</w:t>
      </w:r>
    </w:p>
    <w:p>
      <w:pPr>
        <w:pStyle w:val="ListParagraph"/>
        <w:numPr>
          <w:ilvl w:val="0"/>
          <w:numId w:val="2"/>
        </w:numPr>
      </w:pPr>
      <w:r>
        <w:t xml:space="preserve">New loans (&lt;12 months): Higher prepayment risk, minimal seasoning</w:t>
      </w:r>
    </w:p>
    <w:p>
      <w:pPr>
        <w:pStyle w:val="ListParagraph"/>
        <w:numPr>
          <w:ilvl w:val="0"/>
          <w:numId w:val="2"/>
        </w:numPr>
      </w:pPr>
      <w:r>
        <w:t xml:space="preserve">Seasoned loans (&gt;36 months): Performance should be established, lower early default risk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Remaining term: Should decrease each period unless term extension or further advance</w:t>
      </w:r>
    </w:p>
    <w:p>
      <w:r>
        <w:br w:type="page"/>
      </w:r>
    </w:p>
    <w:p>
      <w:pPr>
        <w:pStyle w:val="Heading1"/>
      </w:pPr>
      <w:r>
        <w:t xml:space="preserve">6. Common Errors &amp; Best Practices</w:t>
      </w:r>
    </w:p>
    <w:p>
      <w:pPr>
        <w:pStyle w:val="Heading2"/>
      </w:pPr>
      <w:r>
        <w:t xml:space="preserve">6.1 Top 10 Most Common Errors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80"/>
        <w:gridCol w:w="3600"/>
        <w:gridCol w:w="498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Prevention / Resolution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format inconsistency (DD/MM/YYYY vs YYYY-MM-DD)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Always use ISO 8601 (YYYY-MM-DD). Apply text-to-columns in Excel, specify format, convert all dates at once.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Missing mandatory fields / blank values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 COUNTBLANK on mandatory columns. Document legitimate N/A cases with servicer. Use 0 for numeric 'none' values.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 Balance &gt; Original Balance (no further advances)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 AR88 (Further Advances). If present, verify CB &lt;= OB + FA. Investigate capitalized fees/arrears.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LTV calculation mismatches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Recalculate: LTV = (Balance/Valuation)*100. Allow 0.5% tolerance. Check indexed vs current valuation methodology.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Duplicate Loan Identifiers within same cut-off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COUNTIF(AR3 range, loan_id) &gt; 1. Flag duplicates. Confirm with servicer if same loan or data error.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Interest rate = 0 or negative values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Rates should be &gt;0. Check for data extraction error, currency mismatch, or decimal misplacement (4.5 vs 0.045).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Arrears balance &gt; 0 but months in arrears = 0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These must reconcile. If AR169&gt;0, AR170 should be &gt;0. May indicate timing difference or partial payments.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 of Debtors = 2 but second borrower fields blank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AR189-207 must be populated if AR19=2. Request second borrower data or correct AR19 to 1 if truly single borrower.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Maturity Date in the past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AR56 must be &gt; AR1 (cut-off date). Check if loan should be marked as matured/redeemed. May need term extension.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Bureau scores outside valid range for provider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Verify score range: Experian 0-999, Equifax 0-700. Out-of-range indicates wrong provider or data error.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6.2 Quality Control Best Practices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automated validation scripts: Use Excel formulas, Python, or SQL to systematically check all sensibility rules</w:t>
      </w:r>
    </w:p>
    <w:p>
      <w:pPr>
        <w:pStyle w:val="ListParagraph"/>
        <w:numPr>
          <w:ilvl w:val="1"/>
          <w:numId w:val="2"/>
        </w:numPr>
      </w:pPr>
      <w:r>
        <w:t xml:space="preserve">Benefits: Consistent, repeatable, efficient for large pools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Store validation rules in reusable templates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Maintain error logs: Document every identified issue with loan ID, field, issue description, resolution</w:t>
      </w:r>
    </w:p>
    <w:p>
      <w:pPr>
        <w:pStyle w:val="ListParagraph"/>
        <w:numPr>
          <w:ilvl w:val="1"/>
          <w:numId w:val="2"/>
        </w:numPr>
      </w:pPr>
      <w:r>
        <w:t xml:space="preserve">Track patterns: Are errors concentrated in specific originators or time periods?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Share findings with servicers to improve future data quality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Period-over-period comparison: Always compare current tape against prior period tape</w:t>
      </w:r>
    </w:p>
    <w:p>
      <w:pPr>
        <w:pStyle w:val="ListParagraph"/>
        <w:numPr>
          <w:ilvl w:val="1"/>
          <w:numId w:val="2"/>
        </w:numPr>
      </w:pPr>
      <w:r>
        <w:t xml:space="preserve">Track loan counts: Reconcile additions (new loans) and removals (redemptions)</w:t>
      </w:r>
    </w:p>
    <w:p>
      <w:pPr>
        <w:pStyle w:val="ListParagraph"/>
        <w:numPr>
          <w:ilvl w:val="1"/>
          <w:numId w:val="2"/>
        </w:numPr>
      </w:pPr>
      <w:r>
        <w:t xml:space="preserve">Balance roll-forward: Beginning + Advances - Repayments - Prepayments = Ending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Delinquency migration: Track loans moving between buckets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Aggregate statistics verification: Calculate pool-level metrics and compare to expectations</w:t>
      </w:r>
    </w:p>
    <w:p>
      <w:pPr>
        <w:pStyle w:val="ListParagraph"/>
        <w:numPr>
          <w:ilvl w:val="1"/>
          <w:numId w:val="2"/>
        </w:numPr>
      </w:pPr>
      <w:r>
        <w:t xml:space="preserve">Weighted average coupon, LTV, seasoning, term</w:t>
      </w:r>
    </w:p>
    <w:p>
      <w:pPr>
        <w:pStyle w:val="ListParagraph"/>
        <w:numPr>
          <w:ilvl w:val="1"/>
          <w:numId w:val="2"/>
        </w:numPr>
      </w:pPr>
      <w:r>
        <w:t xml:space="preserve">Geographic concentration (top 5 regions)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Delinquency rate by bucket, CDR, CPR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Rating agency criteria compliance: Verify pool composition meets transaction requirements</w:t>
      </w:r>
    </w:p>
    <w:p>
      <w:pPr>
        <w:pStyle w:val="ListParagraph"/>
        <w:numPr>
          <w:ilvl w:val="1"/>
          <w:numId w:val="2"/>
        </w:numPr>
      </w:pPr>
      <w:r>
        <w:t xml:space="preserve">Maximum single obligor concentration</w:t>
      </w:r>
    </w:p>
    <w:p>
      <w:pPr>
        <w:pStyle w:val="ListParagraph"/>
        <w:numPr>
          <w:ilvl w:val="1"/>
          <w:numId w:val="2"/>
        </w:numPr>
      </w:pPr>
      <w:r>
        <w:t xml:space="preserve">Geographic diversification requirements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Credit score, LTV, DTI distribution limits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Documentation: Maintain detailed glossaries explaining any deviations from standard definitions</w:t>
      </w:r>
    </w:p>
    <w:p>
      <w:pPr>
        <w:pStyle w:val="ListParagraph"/>
        <w:numPr>
          <w:ilvl w:val="1"/>
          <w:numId w:val="2"/>
        </w:numPr>
      </w:pPr>
      <w:r>
        <w:t xml:space="preserve">Required by Bank of England template guidance</w:t>
      </w:r>
    </w:p>
    <w:p>
      <w:pPr>
        <w:pStyle w:val="ListParagraph"/>
        <w:numPr>
          <w:ilvl w:val="1"/>
          <w:numId w:val="2"/>
        </w:numPr>
        <w:spacing w:after="240"/>
      </w:pPr>
      <w:r>
        <w:t xml:space="preserve">Critical for audit trail and knowledge transfer</w:t>
      </w:r>
    </w:p>
    <w:p>
      <w:r>
        <w:br w:type="page"/>
      </w:r>
    </w:p>
    <w:p>
      <w:pPr>
        <w:pStyle w:val="Heading1"/>
      </w:pPr>
      <w:r>
        <w:t xml:space="preserve">7. Summary &amp; Key Takeaways</w:t>
      </w:r>
    </w:p>
    <w:p>
      <w:pPr>
        <w:spacing w:after="120"/>
      </w:pPr>
      <w:r>
        <w:t xml:space="preserve">Analyzing residential mortgage loan tapes requires a systematic, disciplined approach combining technical accuracy with commercial judgment. The Bank of England template provides a comprehensive framework, but successful analysis depends on understanding not just what each field means, but how fields interrelate and what sensibility checks reveal about underlying credit quality.</w:t>
      </w:r>
    </w:p>
    <w:p>
      <w:pPr>
        <w:pStyle w:val="Heading2"/>
      </w:pPr>
      <w:r>
        <w:t xml:space="preserve">Essential Skills for Junior Analysts: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proficiency: Master Excel formulas, pivot tables, and basic scripting for efficient data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Attention to detail: Small data errors can cascade into significant valuation or rating impacts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Understanding relationships: Know how fields interconnect - LTV affects loss severity, employment affects default risk, etc.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Communication: Document findings clearly, escalate material issues promptly, maintain constructive dialogue with servicers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Commercial awareness: Understand how tape quality impacts deal execution, pricing, and investor confidence</w:t>
      </w:r>
    </w:p>
    <w:p>
      <w:pPr>
        <w:pStyle w:val="Heading2"/>
      </w:pPr>
      <w:r>
        <w:t xml:space="preserve">Critical Success Factors:</w:t>
      </w:r>
    </w:p>
    <w:p>
      <w:pPr>
        <w:pStyle w:val="ListParagraph"/>
        <w:numPr>
          <w:ilvl w:val="0"/>
          <w:numId w:val="2"/>
        </w:numPr>
      </w:pPr>
      <w:r>
        <w:t xml:space="preserve">Establish systematic validation routines - don't rely on ad-hoc spot checks</w:t>
      </w:r>
    </w:p>
    <w:p>
      <w:pPr>
        <w:pStyle w:val="ListParagraph"/>
        <w:numPr>
          <w:ilvl w:val="0"/>
          <w:numId w:val="2"/>
        </w:numPr>
      </w:pPr>
      <w:r>
        <w:t xml:space="preserve">Maintain institutional knowledge through documentation and error logs</w:t>
      </w:r>
    </w:p>
    <w:p>
      <w:pPr>
        <w:pStyle w:val="ListParagraph"/>
        <w:numPr>
          <w:ilvl w:val="0"/>
          <w:numId w:val="2"/>
        </w:numPr>
      </w:pPr>
      <w:r>
        <w:t xml:space="preserve">Build strong relationships with servicers - quality improves with clear, consistent feedback</w:t>
      </w:r>
    </w:p>
    <w:p>
      <w:pPr>
        <w:pStyle w:val="ListParagraph"/>
        <w:numPr>
          <w:ilvl w:val="0"/>
          <w:numId w:val="2"/>
        </w:numPr>
      </w:pPr>
      <w:r>
        <w:t xml:space="preserve">Never assume: When in doubt, query and verify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Think like an investor: What would concern you if you owned these loans?</w:t>
      </w:r>
    </w:p>
    <w:p>
      <w:pPr>
        <w:spacing w:after="120"/>
      </w:pPr>
      <w:r>
        <w:rPr>
          <w:b/>
          <w:bCs/>
          <w:i/>
          <w:iCs/>
        </w:rPr>
        <w:t xml:space="preserve">Remember: High-quality loan tape analysis is foundational to successful securitization execution. Rating agencies, investors, and regulators all depend on accurate, complete data. Your diligence directly impacts deal success.</w:t>
      </w:r>
    </w:p>
    <w:p>
      <w:pPr>
        <w:spacing w:before="240" w:after="120"/>
        <w:jc w:val="center"/>
      </w:pPr>
      <w:r>
        <w:rPr>
          <w:b/>
          <w:bCs/>
          <w:color w:val="1F4E78"/>
          <w:sz w:val="24"/>
          <w:szCs w:val="24"/>
        </w:rPr>
        <w:t xml:space="preserve">Questions? Always ask. Data quality is never just technical - it's about trust.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  <w:style w:type="paragraph" w:styleId="BodyEmphasis">
    <w:name w:val="Body Emphasis"/>
    <w:basedOn w:val="Normal"/>
    <w:pPr>
      <w:spacing w:after="120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2025-12-03T16:06:49.228Z</dcterms:created>
  <dcterms:modified xsi:type="dcterms:W3CDTF">2025-12-03T16:06:49.228Z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