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12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2023-08-25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Lely Maria Kova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2003076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 dan Prasarana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
                1. boleh
                <w:br/>
                2. niceee
                <w:br/>
                3. q
              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
                ok
                <w:br/>
                we
                <w:br/>
                qw
              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Ya
                <w:br/>
                <w:br/>
                Ya
              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<w:br/>
                Tidak
                <w:br/>
              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Prodi
                <w:br/>
                Prodi
                <w:br/>
                Prodi
              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