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unit_kerja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="00E558E3">
              <w:rPr>
                <w:rFonts w:ascii="Times New Roman" w:hAnsi="Times New Roman" w:cs="Times New Roman"/>
                <w:b/>
                <w:bCs/>
              </w:rPr>
              <w:t>t</w:t>
            </w:r>
            <w:r w:rsidRPr="007E05ED">
              <w:rPr>
                <w:rFonts w:ascii="Times New Roman" w:hAnsi="Times New Roman" w:cs="Times New Roman"/>
                <w:b/>
                <w:bCs/>
              </w:rPr>
              <w:t>anggal_input_dokChecklist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akun_auditor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${nip}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455"/>
        <w:gridCol w:w="1392"/>
        <w:gridCol w:w="1563"/>
        <w:gridCol w:w="1446"/>
        <w:gridCol w:w="1671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CD0C91" w:rsidRDefault="007E05ED" w:rsidP="00CD0C91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imes New Roman" w:hAnsi="Times New Roman" w:cs="Times New Roman"/>
              </w:rPr>
            </w:pPr>
            <w:r w:rsidRPr="00CD0C91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CD0C91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CD0C91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hasil_observasi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kesesuaian_ya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kesesuaian_tidak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catatan_khusus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tanggapan_auditee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4</cp:revision>
  <dcterms:created xsi:type="dcterms:W3CDTF">2023-07-29T05:51:00Z</dcterms:created>
  <dcterms:modified xsi:type="dcterms:W3CDTF">2023-08-12T04:23:00Z</dcterms:modified>
</cp:coreProperties>
</file>