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20"/>
        <w:jc w:val="both"/>
        <w:rPr>
          <w:b/>
          <w:bCs/>
        </w:rPr>
      </w:pPr>
    </w:p>
    <w:p>
      <w:pPr>
        <w:ind w:firstLine="708"/>
        <w:rPr>
          <w:sz w:val="28"/>
          <w:szCs w:val="28"/>
        </w:rPr>
      </w:pPr>
    </w:p>
    <w:p>
      <w:pPr>
        <w:jc w:val="center"/>
      </w:pPr>
      <w:r>
        <w:rPr>
          <w:lang w:eastAsia="fr-FR"/>
        </w:rPr>
        <w:drawing>
          <wp:inline distT="0" distB="0" distL="0" distR="0">
            <wp:extent cx="1337310" cy="1138555"/>
            <wp:effectExtent l="19050" t="0" r="0" b="0"/>
            <wp:docPr id="1" name="Image 1" descr="lwf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lwf6"/>
                    <pic:cNvPicPr>
                      <a:picLocks noChangeAspect="1" noChangeArrowheads="1"/>
                    </pic:cNvPicPr>
                  </pic:nvPicPr>
                  <pic:blipFill>
                    <a:blip r:embed="rId6" cstate="print"/>
                    <a:srcRect/>
                    <a:stretch>
                      <a:fillRect/>
                    </a:stretch>
                  </pic:blipFill>
                  <pic:spPr>
                    <a:xfrm>
                      <a:off x="0" y="0"/>
                      <a:ext cx="1337310" cy="1138555"/>
                    </a:xfrm>
                    <a:prstGeom prst="rect">
                      <a:avLst/>
                    </a:prstGeom>
                    <a:noFill/>
                    <a:ln w="9525">
                      <a:noFill/>
                      <a:miter lim="800000"/>
                      <a:headEnd/>
                      <a:tailEnd/>
                    </a:ln>
                  </pic:spPr>
                </pic:pic>
              </a:graphicData>
            </a:graphic>
          </wp:inline>
        </w:drawing>
      </w:r>
    </w:p>
    <w:p>
      <w:pPr>
        <w:pStyle w:val="7"/>
        <w:outlineLvl w:val="0"/>
        <w:rPr>
          <w:b w:val="0"/>
          <w:bCs w:val="0"/>
          <w:caps/>
          <w:sz w:val="40"/>
          <w:szCs w:val="40"/>
        </w:rPr>
      </w:pPr>
      <w:r>
        <w:rPr>
          <w:sz w:val="40"/>
          <w:szCs w:val="40"/>
        </w:rPr>
        <w:t>UNIVERSITE ABDELMALEK ESSAADI</w:t>
      </w:r>
    </w:p>
    <w:p/>
    <w:p/>
    <w:p/>
    <w:p>
      <w:pPr>
        <w:pBdr>
          <w:top w:val="single" w:color="auto" w:sz="4" w:space="1"/>
          <w:left w:val="single" w:color="auto" w:sz="4" w:space="4"/>
          <w:bottom w:val="single" w:color="auto" w:sz="4" w:space="1"/>
          <w:right w:val="single" w:color="auto" w:sz="4" w:space="4"/>
        </w:pBdr>
        <w:shd w:val="clear" w:color="auto" w:fill="D9D9D9"/>
        <w:jc w:val="center"/>
        <w:rPr>
          <w:rFonts w:eastAsia="Times New Roman"/>
          <w:b/>
          <w:bCs/>
          <w:caps/>
          <w:sz w:val="44"/>
          <w:szCs w:val="44"/>
          <w:lang w:eastAsia="fr-FR"/>
        </w:rPr>
      </w:pPr>
      <w:r>
        <w:rPr>
          <w:rFonts w:eastAsia="Times New Roman"/>
          <w:b/>
          <w:bCs/>
          <w:caps/>
          <w:sz w:val="44"/>
          <w:szCs w:val="44"/>
          <w:lang w:eastAsia="fr-FR"/>
        </w:rPr>
        <w:t>Diplôme d’Université</w:t>
      </w:r>
    </w:p>
    <w:p>
      <w:pPr>
        <w:pBdr>
          <w:top w:val="single" w:color="auto" w:sz="4" w:space="1"/>
          <w:left w:val="single" w:color="auto" w:sz="4" w:space="4"/>
          <w:bottom w:val="single" w:color="auto" w:sz="4" w:space="1"/>
          <w:right w:val="single" w:color="auto" w:sz="4" w:space="4"/>
        </w:pBdr>
        <w:shd w:val="clear" w:color="auto" w:fill="D9D9D9"/>
        <w:jc w:val="center"/>
        <w:rPr>
          <w:rFonts w:eastAsia="Times New Roman"/>
          <w:b/>
          <w:bCs/>
          <w:caps/>
          <w:color w:val="0070C0"/>
          <w:sz w:val="36"/>
          <w:szCs w:val="36"/>
          <w:lang w:eastAsia="fr-FR"/>
        </w:rPr>
      </w:pPr>
      <w:r>
        <w:rPr>
          <w:rFonts w:ascii="Rockwell Extra Bold" w:hAnsi="Rockwell Extra Bold" w:eastAsia="Times New Roman"/>
          <w:b/>
          <w:bCs/>
          <w:caps/>
          <w:color w:val="0070C0"/>
          <w:sz w:val="36"/>
          <w:szCs w:val="36"/>
          <w:u w:val="single"/>
          <w:lang w:eastAsia="fr-FR"/>
        </w:rPr>
        <w:t>DCA</w:t>
      </w:r>
      <w:r>
        <w:rPr>
          <w:rFonts w:eastAsia="Times New Roman"/>
          <w:b/>
          <w:bCs/>
          <w:caps/>
          <w:color w:val="0070C0"/>
          <w:sz w:val="36"/>
          <w:szCs w:val="36"/>
          <w:lang w:eastAsia="fr-FR"/>
        </w:rPr>
        <w:t xml:space="preserve">          </w:t>
      </w:r>
    </w:p>
    <w:p>
      <w:pPr>
        <w:pBdr>
          <w:top w:val="single" w:color="auto" w:sz="4" w:space="1"/>
          <w:left w:val="single" w:color="auto" w:sz="4" w:space="4"/>
          <w:bottom w:val="single" w:color="auto" w:sz="4" w:space="1"/>
          <w:right w:val="single" w:color="auto" w:sz="4" w:space="4"/>
        </w:pBdr>
        <w:shd w:val="clear" w:color="auto" w:fill="D9D9D9"/>
        <w:jc w:val="center"/>
        <w:rPr>
          <w:rFonts w:eastAsia="Times New Roman"/>
          <w:b/>
          <w:bCs/>
          <w:caps/>
          <w:sz w:val="32"/>
          <w:szCs w:val="32"/>
          <w:lang w:eastAsia="fr-FR"/>
        </w:rPr>
      </w:pPr>
    </w:p>
    <w:p>
      <w:pPr>
        <w:pBdr>
          <w:top w:val="single" w:color="auto" w:sz="4" w:space="1"/>
          <w:left w:val="single" w:color="auto" w:sz="4" w:space="4"/>
          <w:bottom w:val="single" w:color="auto" w:sz="4" w:space="1"/>
          <w:right w:val="single" w:color="auto" w:sz="4" w:space="4"/>
        </w:pBdr>
        <w:shd w:val="clear" w:color="auto" w:fill="D9D9D9"/>
        <w:rPr>
          <w:rFonts w:eastAsia="Times New Roman"/>
          <w:b/>
          <w:bCs/>
          <w:caps/>
          <w:sz w:val="36"/>
          <w:szCs w:val="36"/>
          <w:lang w:eastAsia="fr-FR"/>
        </w:rPr>
      </w:pPr>
      <w:r>
        <w:rPr>
          <w:rFonts w:eastAsia="Times New Roman"/>
          <w:b/>
          <w:bCs/>
          <w:caps/>
          <w:sz w:val="32"/>
          <w:szCs w:val="32"/>
          <w:lang w:eastAsia="fr-FR"/>
        </w:rPr>
        <w:t>Titre :</w:t>
      </w:r>
      <w:r>
        <w:rPr>
          <w:rFonts w:eastAsia="Times New Roman"/>
          <w:b/>
          <w:bCs/>
          <w:caps/>
          <w:sz w:val="44"/>
          <w:szCs w:val="44"/>
          <w:lang w:eastAsia="fr-FR"/>
        </w:rPr>
        <w:t xml:space="preserve"> </w:t>
      </w:r>
      <w:r>
        <w:rPr>
          <w:rFonts w:eastAsia="Times New Roman"/>
          <w:b/>
          <w:bCs/>
          <w:caps/>
          <w:sz w:val="36"/>
          <w:szCs w:val="36"/>
          <w:lang w:eastAsia="fr-FR"/>
        </w:rPr>
        <w:t>Management de la Qualité, Hygiène, Sécurité &amp; Environnement (MQHSE &amp; RISQUES INDUSTRIELS)</w:t>
      </w:r>
    </w:p>
    <w:p>
      <w:pPr>
        <w:pBdr>
          <w:top w:val="single" w:color="auto" w:sz="4" w:space="1"/>
          <w:left w:val="single" w:color="auto" w:sz="4" w:space="4"/>
          <w:bottom w:val="single" w:color="auto" w:sz="4" w:space="1"/>
          <w:right w:val="single" w:color="auto" w:sz="4" w:space="4"/>
        </w:pBdr>
        <w:shd w:val="clear" w:color="auto" w:fill="D9D9D9"/>
        <w:jc w:val="center"/>
        <w:rPr>
          <w:rFonts w:hint="default" w:eastAsia="Times New Roman"/>
          <w:b/>
          <w:bCs/>
          <w:caps/>
          <w:sz w:val="44"/>
          <w:szCs w:val="44"/>
          <w:lang w:val="en-US" w:eastAsia="fr-FR"/>
        </w:rPr>
      </w:pPr>
      <w:r>
        <w:rPr>
          <w:rFonts w:hint="default" w:eastAsia="Times New Roman"/>
          <w:b/>
          <w:bCs/>
          <w:caps/>
          <w:sz w:val="44"/>
          <w:szCs w:val="44"/>
          <w:lang w:val="en-US" w:eastAsia="fr-FR"/>
        </w:rPr>
        <w:t>2023/2024</w:t>
      </w:r>
    </w:p>
    <w:p>
      <w:pPr>
        <w:jc w:val="center"/>
        <w:rPr>
          <w:b/>
          <w:bCs/>
          <w:sz w:val="32"/>
          <w:szCs w:val="32"/>
        </w:rPr>
      </w:pPr>
    </w:p>
    <w:p>
      <w:pPr>
        <w:jc w:val="center"/>
        <w:rPr>
          <w:b/>
          <w:bCs/>
          <w:sz w:val="32"/>
          <w:szCs w:val="32"/>
        </w:rPr>
      </w:pPr>
    </w:p>
    <w:p>
      <w:pPr>
        <w:jc w:val="center"/>
        <w:rPr>
          <w:b/>
          <w:bCs/>
          <w:sz w:val="32"/>
          <w:szCs w:val="32"/>
        </w:rPr>
      </w:pPr>
    </w:p>
    <w:p>
      <w:pPr>
        <w:jc w:val="center"/>
        <w:rPr>
          <w:b/>
          <w:bCs/>
          <w:sz w:val="32"/>
          <w:szCs w:val="32"/>
        </w:rPr>
      </w:pPr>
      <w:bookmarkStart w:id="0" w:name="_GoBack"/>
      <w:bookmarkEnd w:id="0"/>
    </w:p>
    <w:p>
      <w:pPr>
        <w:jc w:val="center"/>
        <w:rPr>
          <w:b/>
          <w:bCs/>
          <w:sz w:val="32"/>
          <w:szCs w:val="32"/>
        </w:rPr>
      </w:pPr>
    </w:p>
    <w:p>
      <w:pPr>
        <w:jc w:val="center"/>
        <w:rPr>
          <w:b/>
          <w:bCs/>
          <w:sz w:val="32"/>
          <w:szCs w:val="32"/>
        </w:rPr>
      </w:pPr>
      <w:r>
        <w:rPr>
          <w:b/>
          <w:bCs/>
          <w:sz w:val="32"/>
          <w:szCs w:val="32"/>
        </w:rPr>
        <w:t>Responsable pédagogique : Mohammed Réda Britel</w:t>
      </w:r>
    </w:p>
    <w:p>
      <w:pPr>
        <w:jc w:val="center"/>
        <w:rPr>
          <w:b/>
          <w:bCs/>
          <w:sz w:val="32"/>
          <w:szCs w:val="32"/>
        </w:rPr>
      </w:pPr>
      <w:r>
        <w:rPr>
          <w:b/>
          <w:bCs/>
          <w:sz w:val="32"/>
          <w:szCs w:val="32"/>
        </w:rPr>
        <w:t xml:space="preserve">Etablissement : </w:t>
      </w:r>
      <w:r>
        <w:rPr>
          <w:b/>
          <w:bCs/>
          <w:sz w:val="28"/>
          <w:szCs w:val="28"/>
        </w:rPr>
        <w:t xml:space="preserve">ENSA DE TANGER     </w:t>
      </w:r>
    </w:p>
    <w:p>
      <w:pPr>
        <w:jc w:val="center"/>
        <w:rPr>
          <w:b/>
          <w:bCs/>
          <w:sz w:val="32"/>
          <w:szCs w:val="32"/>
        </w:rPr>
      </w:pPr>
    </w:p>
    <w:p>
      <w:pPr>
        <w:spacing w:before="120"/>
        <w:jc w:val="both"/>
        <w:rPr>
          <w:b/>
          <w:bCs/>
        </w:rPr>
      </w:pPr>
      <w:r>
        <w:rPr>
          <w:b/>
          <w:bCs/>
          <w:sz w:val="32"/>
          <w:szCs w:val="32"/>
        </w:rPr>
        <w:br w:type="page"/>
      </w:r>
    </w:p>
    <w:p>
      <w:pPr>
        <w:spacing w:before="120"/>
        <w:jc w:val="both"/>
        <w:rPr>
          <w:b/>
          <w:bCs/>
        </w:rPr>
      </w:pPr>
      <w:r>
        <w:rPr>
          <w:b/>
          <w:bCs/>
        </w:rPr>
        <w:t xml:space="preserve">1. Objectifs  </w:t>
      </w:r>
    </w:p>
    <w:p>
      <w:pPr>
        <w:autoSpaceDE w:val="0"/>
        <w:autoSpaceDN w:val="0"/>
        <w:adjustRightInd w:val="0"/>
        <w:jc w:val="both"/>
      </w:pPr>
      <w:r>
        <w:t>Le diplôme DCA en Management de la Qualité, Hygiène, Sécurité &amp; Environnement (MQHSE &amp; Risques Industriels) est fondamental à tous intervenant dans le domaine industriel. Cette formation lui permettra de gérer, de concevoir, d’organiser, d’implanter ou de piloter des projets dans le domaine industriel avec le respect total des normes en vigueur. Il met ces connaissances au service de la performance, de la productivité, de la sécurité, la qualité, la gestion des systèmes industriels. Sa compétence s’étend des achats jusqu’aux chaines de production, en passant par la gestion des équipes, gestion risques, gestion de projets et les informations sur les HQS mises en jeu lors de la formation.</w:t>
      </w:r>
    </w:p>
    <w:p>
      <w:pPr>
        <w:spacing w:before="120"/>
        <w:jc w:val="both"/>
      </w:pPr>
    </w:p>
    <w:p>
      <w:pPr>
        <w:spacing w:before="120"/>
        <w:jc w:val="both"/>
      </w:pPr>
      <w:r>
        <w:t xml:space="preserve">Cette formation permet de développer une </w:t>
      </w:r>
      <w:r>
        <w:rPr>
          <w:b/>
          <w:bCs/>
        </w:rPr>
        <w:t>double compétence industrielle et managériale</w:t>
      </w:r>
      <w:r>
        <w:t>, très recherchée par les entreprises.</w:t>
      </w:r>
    </w:p>
    <w:p>
      <w:pPr>
        <w:spacing w:before="120"/>
        <w:jc w:val="both"/>
        <w:rPr>
          <w:b/>
          <w:bCs/>
        </w:rPr>
      </w:pPr>
    </w:p>
    <w:p>
      <w:pPr>
        <w:spacing w:before="120"/>
        <w:jc w:val="both"/>
        <w:rPr>
          <w:b/>
          <w:bCs/>
        </w:rPr>
      </w:pPr>
      <w:r>
        <w:rPr>
          <w:b/>
          <w:bCs/>
        </w:rPr>
        <w:t>2. Conditions d’accès </w:t>
      </w:r>
    </w:p>
    <w:p>
      <w:pPr>
        <w:spacing w:before="120"/>
        <w:jc w:val="both"/>
        <w:rPr>
          <w:b/>
          <w:bCs/>
        </w:rPr>
      </w:pPr>
      <w:r>
        <w:rPr>
          <w:sz w:val="26"/>
        </w:rPr>
        <w:t>Le DCA « </w:t>
      </w:r>
      <w:r>
        <w:rPr>
          <w:rFonts w:eastAsia="Times New Roman"/>
          <w:sz w:val="22"/>
          <w:szCs w:val="22"/>
          <w:lang w:eastAsia="fr-FR"/>
        </w:rPr>
        <w:t xml:space="preserve">« Management de la Qualité, Hygiène, Sécurité &amp; Environnement (MQHSE &amp; Risques </w:t>
      </w:r>
      <w:r>
        <w:rPr>
          <w:sz w:val="26"/>
        </w:rPr>
        <w:t xml:space="preserve">Industriels » </w:t>
      </w:r>
      <w:r>
        <w:t>est ouvert aux étudiants et cadres d’entreprises</w:t>
      </w:r>
      <w:r>
        <w:rPr>
          <w:sz w:val="26"/>
        </w:rPr>
        <w:t xml:space="preserve"> </w:t>
      </w:r>
      <w:r>
        <w:t>ayant l’un des diplômes suivants :</w:t>
      </w:r>
    </w:p>
    <w:p>
      <w:pPr>
        <w:numPr>
          <w:ilvl w:val="0"/>
          <w:numId w:val="1"/>
        </w:numPr>
        <w:tabs>
          <w:tab w:val="left" w:pos="540"/>
          <w:tab w:val="clear" w:pos="720"/>
        </w:tabs>
        <w:ind w:left="600" w:leftChars="0" w:firstLineChars="0"/>
      </w:pPr>
      <w:r>
        <w:t xml:space="preserve">Titulaires d’un DEUG, DEUST ou DEUP </w:t>
      </w:r>
      <w:r>
        <w:rPr>
          <w:rFonts w:eastAsia="Times New Roman"/>
          <w:sz w:val="22"/>
          <w:szCs w:val="22"/>
          <w:lang w:eastAsia="fr-FR"/>
        </w:rPr>
        <w:t>« Sciences, lettres et économie »</w:t>
      </w:r>
    </w:p>
    <w:p>
      <w:pPr>
        <w:numPr>
          <w:ilvl w:val="0"/>
          <w:numId w:val="1"/>
        </w:numPr>
        <w:tabs>
          <w:tab w:val="left" w:pos="540"/>
          <w:tab w:val="clear" w:pos="720"/>
        </w:tabs>
        <w:ind w:left="600" w:leftChars="0" w:firstLineChars="0"/>
      </w:pPr>
      <w:r>
        <w:t>Tout diplôme de niveau bac+2 donné par les établissements privés relevant de l’enseignement supérieur.</w:t>
      </w:r>
    </w:p>
    <w:p>
      <w:pPr>
        <w:numPr>
          <w:ilvl w:val="0"/>
          <w:numId w:val="1"/>
        </w:numPr>
        <w:tabs>
          <w:tab w:val="left" w:pos="540"/>
          <w:tab w:val="clear" w:pos="720"/>
        </w:tabs>
        <w:ind w:left="600" w:leftChars="0" w:firstLineChars="0"/>
      </w:pPr>
      <w:r>
        <w:t>Tout diplôme de niveau bac+2 donné par les établissements publics relevant de la formation professionnelle (ISTA).</w:t>
      </w:r>
    </w:p>
    <w:p>
      <w:pPr>
        <w:numPr>
          <w:ilvl w:val="0"/>
          <w:numId w:val="1"/>
        </w:numPr>
        <w:tabs>
          <w:tab w:val="left" w:pos="540"/>
          <w:tab w:val="clear" w:pos="720"/>
        </w:tabs>
        <w:ind w:left="600" w:leftChars="0" w:firstLineChars="0"/>
      </w:pPr>
      <w:r>
        <w:t>Tout diplôme de niveau bac+2 donné par les établissements privés accrédités par la formation professionnelle (accréditation exigée)</w:t>
      </w:r>
    </w:p>
    <w:p>
      <w:pPr>
        <w:numPr>
          <w:ilvl w:val="0"/>
          <w:numId w:val="1"/>
        </w:numPr>
        <w:tabs>
          <w:tab w:val="left" w:pos="540"/>
          <w:tab w:val="clear" w:pos="720"/>
        </w:tabs>
        <w:ind w:left="600" w:leftChars="0" w:firstLineChars="0"/>
        <w:rPr>
          <w:rFonts w:eastAsia="Times New Roman"/>
          <w:sz w:val="22"/>
          <w:szCs w:val="22"/>
          <w:lang w:eastAsia="fr-FR"/>
        </w:rPr>
      </w:pPr>
      <w:r>
        <w:t>Licences</w:t>
      </w:r>
      <w:r>
        <w:rPr>
          <w:rFonts w:eastAsia="Times New Roman"/>
          <w:sz w:val="22"/>
          <w:szCs w:val="22"/>
          <w:lang w:eastAsia="fr-FR"/>
        </w:rPr>
        <w:t xml:space="preserve"> et Licences Professionnelles « Sciences, lettres et économie »</w:t>
      </w:r>
    </w:p>
    <w:p>
      <w:pPr>
        <w:numPr>
          <w:ilvl w:val="0"/>
          <w:numId w:val="1"/>
        </w:numPr>
        <w:tabs>
          <w:tab w:val="left" w:pos="540"/>
          <w:tab w:val="clear" w:pos="720"/>
        </w:tabs>
        <w:ind w:left="600" w:leftChars="0" w:firstLineChars="0"/>
      </w:pPr>
      <w:r>
        <w:t>Tout diplôme étranger reconnu équivalent.</w:t>
      </w:r>
    </w:p>
    <w:p>
      <w:pPr>
        <w:numPr>
          <w:ilvl w:val="0"/>
          <w:numId w:val="1"/>
        </w:numPr>
        <w:tabs>
          <w:tab w:val="left" w:pos="540"/>
          <w:tab w:val="clear" w:pos="720"/>
        </w:tabs>
        <w:ind w:left="600" w:leftChars="0" w:firstLineChars="0"/>
      </w:pPr>
      <w:r>
        <w:t xml:space="preserve">Toute personne qui n’a pas les diplômes ci-dessus, qui a de l’expérience professionnelle, peut déposer une demande pour valider les Acquis de l’Expérience par la CPU qui décidera de la recevabilité ou pas. </w:t>
      </w:r>
    </w:p>
    <w:p>
      <w:pPr>
        <w:pStyle w:val="12"/>
      </w:pPr>
      <w:r>
        <w:t>4. Modalités d’obtention du diplôme :</w:t>
      </w:r>
    </w:p>
    <w:p>
      <w:pPr>
        <w:pStyle w:val="12"/>
      </w:pPr>
    </w:p>
    <w:p>
      <w:pPr>
        <w:jc w:val="both"/>
      </w:pPr>
      <w:r>
        <w:t xml:space="preserve">Le </w:t>
      </w:r>
      <w:r>
        <w:rPr>
          <w:b/>
          <w:bCs/>
        </w:rPr>
        <w:t>Diplôme de Cycle d’approfondissement en Génie des Systèmes Industriels</w:t>
      </w:r>
      <w:r>
        <w:t xml:space="preserve"> (DCA GSI) est conditionné par :</w:t>
      </w:r>
    </w:p>
    <w:p>
      <w:pPr>
        <w:numPr>
          <w:ilvl w:val="0"/>
          <w:numId w:val="2"/>
        </w:numPr>
        <w:jc w:val="both"/>
      </w:pPr>
      <w:r>
        <w:t>L’obtention d’une moyenne générale supérieure ou égale à 10/20 ;</w:t>
      </w:r>
    </w:p>
    <w:p>
      <w:pPr>
        <w:numPr>
          <w:ilvl w:val="0"/>
          <w:numId w:val="2"/>
        </w:numPr>
        <w:jc w:val="both"/>
      </w:pPr>
      <w:r>
        <w:t>La validation des différents modules d’enseignement ;</w:t>
      </w:r>
    </w:p>
    <w:p>
      <w:pPr>
        <w:numPr>
          <w:ilvl w:val="0"/>
          <w:numId w:val="2"/>
        </w:numPr>
        <w:jc w:val="both"/>
      </w:pPr>
      <w:r>
        <w:t>La validation du projet professionnel (PFE).</w:t>
      </w:r>
    </w:p>
    <w:p/>
    <w:p>
      <w:pPr>
        <w:rPr>
          <w:b/>
          <w:bCs/>
        </w:rPr>
      </w:pPr>
    </w:p>
    <w:p>
      <w:pPr>
        <w:pStyle w:val="9"/>
        <w:numPr>
          <w:ilvl w:val="0"/>
          <w:numId w:val="3"/>
        </w:numPr>
        <w:rPr>
          <w:b/>
          <w:bCs/>
        </w:rPr>
      </w:pPr>
      <w:r>
        <w:rPr>
          <w:b/>
          <w:bCs/>
        </w:rPr>
        <w:t xml:space="preserve">Nombre des étudiants inscrits : </w:t>
      </w:r>
      <w:r>
        <w:rPr>
          <w:rFonts w:hint="default"/>
          <w:b/>
          <w:bCs/>
          <w:lang w:val="fr-FR"/>
        </w:rPr>
        <w:t>17</w:t>
      </w:r>
    </w:p>
    <w:p>
      <w:pPr>
        <w:rPr>
          <w:b/>
          <w:bCs/>
        </w:rPr>
      </w:pPr>
    </w:p>
    <w:p>
      <w:pPr>
        <w:pStyle w:val="9"/>
        <w:numPr>
          <w:ilvl w:val="0"/>
          <w:numId w:val="3"/>
        </w:numPr>
        <w:rPr>
          <w:b/>
          <w:bCs/>
        </w:rPr>
      </w:pPr>
      <w:r>
        <w:rPr>
          <w:rFonts w:eastAsia="MS Mincho"/>
          <w:b/>
          <w:bCs/>
          <w:lang w:eastAsia="ja-JP"/>
        </w:rPr>
        <w:t xml:space="preserve">Montant </w:t>
      </w:r>
      <w:r>
        <w:rPr>
          <w:b/>
          <w:bCs/>
        </w:rPr>
        <w:t>des recettes reçues avant       : ----------- Dhs</w:t>
      </w:r>
    </w:p>
    <w:p>
      <w:pPr>
        <w:pStyle w:val="9"/>
        <w:rPr>
          <w:b/>
          <w:bCs/>
        </w:rPr>
      </w:pPr>
    </w:p>
    <w:p>
      <w:pPr>
        <w:ind w:left="3540" w:firstLine="708"/>
        <w:rPr>
          <w:b/>
          <w:bCs/>
        </w:rPr>
      </w:pPr>
    </w:p>
    <w:sectPr>
      <w:pgSz w:w="11906" w:h="16838"/>
      <w:pgMar w:top="1417" w:right="1417" w:bottom="1417" w:left="1417"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Rockwell Extra Bold">
    <w:panose1 w:val="02060903040505020403"/>
    <w:charset w:val="00"/>
    <w:family w:val="roman"/>
    <w:pitch w:val="default"/>
    <w:sig w:usb0="00000003" w:usb1="00000000" w:usb2="00000000" w:usb3="00000000" w:csb0="20000001" w:csb1="00000000"/>
  </w:font>
  <w:font w:name="Symbol">
    <w:panose1 w:val="05050102010706020507"/>
    <w:charset w:val="02"/>
    <w:family w:val="roman"/>
    <w:pitch w:val="default"/>
    <w:sig w:usb0="00000000" w:usb1="00000000" w:usb2="00000000" w:usb3="00000000" w:csb0="80000000" w:csb1="00000000"/>
  </w:font>
  <w:font w:name="MS Mincho">
    <w:altName w:val="Yu Gothic UI"/>
    <w:panose1 w:val="02020609040205080304"/>
    <w:charset w:val="80"/>
    <w:family w:val="roman"/>
    <w:pitch w:val="default"/>
    <w:sig w:usb0="00000000" w:usb1="00000000" w:usb2="00000010" w:usb3="00000000" w:csb0="00020000" w:csb1="00000000"/>
  </w:font>
  <w:font w:name="Symbol">
    <w:panose1 w:val="05050102010706020507"/>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76C356F"/>
    <w:multiLevelType w:val="multilevel"/>
    <w:tmpl w:val="476C356F"/>
    <w:lvl w:ilvl="0" w:tentative="0">
      <w:start w:val="1"/>
      <w:numFmt w:val="bullet"/>
      <w:lvlText w:val="-"/>
      <w:lvlJc w:val="left"/>
      <w:pPr>
        <w:ind w:left="720" w:hanging="360"/>
      </w:pPr>
      <w:rPr>
        <w:rFonts w:hint="default" w:ascii="Times New Roman" w:hAnsi="Times New Roman" w:eastAsia="Times New Roman" w:cs="Times New Roman"/>
        <w:sz w:val="24"/>
        <w:szCs w:val="24"/>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481D3DF4"/>
    <w:multiLevelType w:val="multilevel"/>
    <w:tmpl w:val="481D3DF4"/>
    <w:lvl w:ilvl="0" w:tentative="0">
      <w:start w:val="1"/>
      <w:numFmt w:val="bullet"/>
      <w:lvlText w:val=""/>
      <w:lvlJc w:val="left"/>
      <w:pPr>
        <w:tabs>
          <w:tab w:val="left" w:pos="720"/>
        </w:tabs>
        <w:ind w:left="780" w:hanging="360"/>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cs="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cs="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cs="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2">
    <w:nsid w:val="78A109DA"/>
    <w:multiLevelType w:val="multilevel"/>
    <w:tmpl w:val="78A109DA"/>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08"/>
  <w:hyphenationZone w:val="425"/>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05BF"/>
    <w:rsid w:val="000113CA"/>
    <w:rsid w:val="00063E26"/>
    <w:rsid w:val="00082E58"/>
    <w:rsid w:val="000F05BF"/>
    <w:rsid w:val="0017337B"/>
    <w:rsid w:val="00176E0A"/>
    <w:rsid w:val="001D08EF"/>
    <w:rsid w:val="001D24F0"/>
    <w:rsid w:val="001E7DE1"/>
    <w:rsid w:val="001F3615"/>
    <w:rsid w:val="00241091"/>
    <w:rsid w:val="00272567"/>
    <w:rsid w:val="002D6D79"/>
    <w:rsid w:val="002E7984"/>
    <w:rsid w:val="00344EC2"/>
    <w:rsid w:val="003E3887"/>
    <w:rsid w:val="003F3019"/>
    <w:rsid w:val="00401659"/>
    <w:rsid w:val="004133D8"/>
    <w:rsid w:val="004136F2"/>
    <w:rsid w:val="00445B40"/>
    <w:rsid w:val="004A7778"/>
    <w:rsid w:val="005618CE"/>
    <w:rsid w:val="005B58A7"/>
    <w:rsid w:val="005E3B64"/>
    <w:rsid w:val="00647527"/>
    <w:rsid w:val="00661A80"/>
    <w:rsid w:val="00682632"/>
    <w:rsid w:val="00724CED"/>
    <w:rsid w:val="00794BE3"/>
    <w:rsid w:val="007B0DF3"/>
    <w:rsid w:val="007C1A4D"/>
    <w:rsid w:val="0081739D"/>
    <w:rsid w:val="0084413B"/>
    <w:rsid w:val="008653D5"/>
    <w:rsid w:val="00877529"/>
    <w:rsid w:val="008C63DF"/>
    <w:rsid w:val="008D12DE"/>
    <w:rsid w:val="009C2B4E"/>
    <w:rsid w:val="009D25BC"/>
    <w:rsid w:val="009F2363"/>
    <w:rsid w:val="00A11C3B"/>
    <w:rsid w:val="00A646D7"/>
    <w:rsid w:val="00A7463C"/>
    <w:rsid w:val="00AB06A8"/>
    <w:rsid w:val="00AE0042"/>
    <w:rsid w:val="00AF61C1"/>
    <w:rsid w:val="00B3071B"/>
    <w:rsid w:val="00B34255"/>
    <w:rsid w:val="00C43E8E"/>
    <w:rsid w:val="00CE6D9A"/>
    <w:rsid w:val="00D23439"/>
    <w:rsid w:val="00D43EBC"/>
    <w:rsid w:val="00DD170B"/>
    <w:rsid w:val="00E4669A"/>
    <w:rsid w:val="00EA01CD"/>
    <w:rsid w:val="00EB75DD"/>
    <w:rsid w:val="00F02E66"/>
    <w:rsid w:val="00F12028"/>
    <w:rsid w:val="00F22D09"/>
    <w:rsid w:val="00F242FE"/>
    <w:rsid w:val="00F768CB"/>
    <w:rsid w:val="00F92262"/>
    <w:rsid w:val="00FD0C46"/>
    <w:rsid w:val="00FD7BC8"/>
    <w:rsid w:val="648D5259"/>
  </w:rsids>
  <m:mathPr>
    <m:mathFont m:val="Cambria Math"/>
    <m:brkBin m:val="before"/>
    <m:brkBinSub m:val="--"/>
    <m:smallFrac m:val="0"/>
    <m:dispDef/>
    <m:lMargin m:val="0"/>
    <m:rMargin m:val="0"/>
    <m:defJc m:val="centerGroup"/>
    <m:wrapIndent m:val="1440"/>
    <m:intLim m:val="subSup"/>
    <m:naryLim m:val="undOvr"/>
  </m:mathPr>
  <w:themeFontLang w:val="fr-FR"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qFormat="1" w:uiPriority="99" w:name="Balloon Text"/>
    <w:lsdException w:unhideWhenUsed="0" w:uiPriority="59" w:semiHidden="0" w:name="Table Grid"/>
    <w:lsdException w:qFormat="1" w:unhideWhenUsed="0" w:uiPriority="34" w:semiHidden="0" w:name="List Paragraph"/>
  </w:latentStyles>
  <w:style w:type="paragraph" w:default="1" w:styleId="1">
    <w:name w:val="Normal"/>
    <w:qFormat/>
    <w:uiPriority w:val="0"/>
    <w:pPr>
      <w:spacing w:after="0" w:line="240" w:lineRule="auto"/>
    </w:pPr>
    <w:rPr>
      <w:rFonts w:ascii="Times New Roman" w:hAnsi="Times New Roman" w:eastAsia="SimSun" w:cs="Times New Roman"/>
      <w:sz w:val="24"/>
      <w:szCs w:val="24"/>
      <w:lang w:val="fr-FR" w:eastAsia="zh-CN" w:bidi="ar-SA"/>
    </w:rPr>
  </w:style>
  <w:style w:type="character" w:default="1" w:styleId="2">
    <w:name w:val="Default Paragraph Font"/>
    <w:semiHidden/>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3">
    <w:name w:val="Balloon Text"/>
    <w:basedOn w:val="1"/>
    <w:link w:val="17"/>
    <w:semiHidden/>
    <w:unhideWhenUsed/>
    <w:qFormat/>
    <w:uiPriority w:val="99"/>
    <w:rPr>
      <w:rFonts w:ascii="Tahoma" w:hAnsi="Tahoma" w:cs="Tahoma"/>
      <w:sz w:val="16"/>
      <w:szCs w:val="16"/>
    </w:rPr>
  </w:style>
  <w:style w:type="paragraph" w:styleId="4">
    <w:name w:val="Normal (Web)"/>
    <w:basedOn w:val="1"/>
    <w:uiPriority w:val="0"/>
    <w:pPr>
      <w:spacing w:before="100" w:beforeAutospacing="1" w:after="100" w:afterAutospacing="1"/>
    </w:pPr>
    <w:rPr>
      <w:rFonts w:eastAsia="Times New Roman"/>
      <w:color w:val="000000"/>
      <w:lang w:eastAsia="fr-FR"/>
    </w:rPr>
  </w:style>
  <w:style w:type="paragraph" w:styleId="5">
    <w:name w:val="footer"/>
    <w:basedOn w:val="1"/>
    <w:link w:val="14"/>
    <w:semiHidden/>
    <w:unhideWhenUsed/>
    <w:uiPriority w:val="99"/>
    <w:pPr>
      <w:tabs>
        <w:tab w:val="center" w:pos="4536"/>
        <w:tab w:val="right" w:pos="9072"/>
      </w:tabs>
    </w:pPr>
  </w:style>
  <w:style w:type="paragraph" w:styleId="6">
    <w:name w:val="header"/>
    <w:basedOn w:val="1"/>
    <w:link w:val="13"/>
    <w:semiHidden/>
    <w:unhideWhenUsed/>
    <w:qFormat/>
    <w:uiPriority w:val="99"/>
    <w:pPr>
      <w:tabs>
        <w:tab w:val="center" w:pos="4536"/>
        <w:tab w:val="right" w:pos="9072"/>
      </w:tabs>
    </w:pPr>
  </w:style>
  <w:style w:type="paragraph" w:styleId="7">
    <w:name w:val="Title"/>
    <w:basedOn w:val="1"/>
    <w:link w:val="16"/>
    <w:qFormat/>
    <w:uiPriority w:val="10"/>
    <w:pPr>
      <w:pBdr>
        <w:top w:val="single" w:color="auto" w:sz="4" w:space="1"/>
        <w:left w:val="single" w:color="auto" w:sz="4" w:space="4"/>
        <w:bottom w:val="single" w:color="auto" w:sz="4" w:space="1"/>
        <w:right w:val="single" w:color="auto" w:sz="4" w:space="4"/>
      </w:pBdr>
      <w:jc w:val="center"/>
    </w:pPr>
    <w:rPr>
      <w:b/>
      <w:bCs/>
      <w:sz w:val="52"/>
      <w:szCs w:val="52"/>
    </w:rPr>
  </w:style>
  <w:style w:type="paragraph" w:styleId="9">
    <w:name w:val="List Paragraph"/>
    <w:basedOn w:val="1"/>
    <w:qFormat/>
    <w:uiPriority w:val="34"/>
    <w:pPr>
      <w:ind w:left="720"/>
      <w:contextualSpacing/>
    </w:pPr>
  </w:style>
  <w:style w:type="paragraph" w:customStyle="1" w:styleId="10">
    <w:name w:val="Default"/>
    <w:qFormat/>
    <w:uiPriority w:val="0"/>
    <w:pPr>
      <w:autoSpaceDE w:val="0"/>
      <w:autoSpaceDN w:val="0"/>
      <w:adjustRightInd w:val="0"/>
      <w:spacing w:after="0" w:line="240" w:lineRule="auto"/>
    </w:pPr>
    <w:rPr>
      <w:rFonts w:ascii="Times New Roman" w:hAnsi="Times New Roman" w:cs="Times New Roman" w:eastAsiaTheme="minorHAnsi"/>
      <w:color w:val="000000"/>
      <w:sz w:val="24"/>
      <w:szCs w:val="24"/>
      <w:lang w:val="fr-FR" w:eastAsia="en-US" w:bidi="ar-SA"/>
    </w:rPr>
  </w:style>
  <w:style w:type="character" w:customStyle="1" w:styleId="11">
    <w:name w:val="style5"/>
    <w:basedOn w:val="2"/>
    <w:uiPriority w:val="0"/>
  </w:style>
  <w:style w:type="paragraph" w:customStyle="1" w:styleId="12">
    <w:name w:val="sous titre"/>
    <w:basedOn w:val="1"/>
    <w:qFormat/>
    <w:uiPriority w:val="0"/>
    <w:pPr>
      <w:spacing w:line="26" w:lineRule="atLeast"/>
      <w:jc w:val="both"/>
      <w:outlineLvl w:val="1"/>
    </w:pPr>
    <w:rPr>
      <w:rFonts w:eastAsia="Times New Roman"/>
      <w:b/>
      <w:lang w:eastAsia="fr-FR"/>
    </w:rPr>
  </w:style>
  <w:style w:type="character" w:customStyle="1" w:styleId="13">
    <w:name w:val="En-tête Car"/>
    <w:basedOn w:val="2"/>
    <w:link w:val="6"/>
    <w:semiHidden/>
    <w:uiPriority w:val="99"/>
    <w:rPr>
      <w:rFonts w:ascii="Times New Roman" w:hAnsi="Times New Roman" w:eastAsia="SimSun" w:cs="Times New Roman"/>
      <w:sz w:val="24"/>
      <w:szCs w:val="24"/>
      <w:lang w:eastAsia="zh-CN"/>
    </w:rPr>
  </w:style>
  <w:style w:type="character" w:customStyle="1" w:styleId="14">
    <w:name w:val="Pied de page Car"/>
    <w:basedOn w:val="2"/>
    <w:link w:val="5"/>
    <w:semiHidden/>
    <w:qFormat/>
    <w:uiPriority w:val="99"/>
    <w:rPr>
      <w:rFonts w:ascii="Times New Roman" w:hAnsi="Times New Roman" w:eastAsia="SimSun" w:cs="Times New Roman"/>
      <w:sz w:val="24"/>
      <w:szCs w:val="24"/>
      <w:lang w:eastAsia="zh-CN"/>
    </w:rPr>
  </w:style>
  <w:style w:type="table" w:styleId="15">
    <w:name w:val="Table Grid"/>
    <w:basedOn w:val="8"/>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16">
    <w:name w:val="Titre Car"/>
    <w:basedOn w:val="2"/>
    <w:link w:val="7"/>
    <w:qFormat/>
    <w:uiPriority w:val="10"/>
    <w:rPr>
      <w:rFonts w:ascii="Times New Roman" w:hAnsi="Times New Roman" w:eastAsia="SimSun" w:cs="Times New Roman"/>
      <w:b/>
      <w:bCs/>
      <w:sz w:val="52"/>
      <w:szCs w:val="52"/>
      <w:lang w:eastAsia="zh-CN"/>
    </w:rPr>
  </w:style>
  <w:style w:type="character" w:customStyle="1" w:styleId="17">
    <w:name w:val="Texte de bulles Car"/>
    <w:basedOn w:val="2"/>
    <w:link w:val="3"/>
    <w:semiHidden/>
    <w:uiPriority w:val="99"/>
    <w:rPr>
      <w:rFonts w:ascii="Tahoma" w:hAnsi="Tahoma" w:eastAsia="SimSun" w:cs="Tahoma"/>
      <w:sz w:val="16"/>
      <w:szCs w:val="16"/>
      <w:lang w:eastAsia="zh-CN"/>
    </w:rPr>
  </w:style>
  <w:style w:type="character" w:customStyle="1" w:styleId="18">
    <w:name w:val="goog_qs-tidbit-0"/>
    <w:basedOn w:val="2"/>
    <w:qFormat/>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Pages>
  <Words>379</Words>
  <Characters>2087</Characters>
  <Lines>17</Lines>
  <Paragraphs>4</Paragraphs>
  <TotalTime>2</TotalTime>
  <ScaleCrop>false</ScaleCrop>
  <LinksUpToDate>false</LinksUpToDate>
  <CharactersWithSpaces>2462</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2023-11-09T22:06:00Z</dcterms:created>
  <dc:creator>ensat</dc:creator>
  <cp:lastModifiedBy>Amal Maurady</cp:lastModifiedBy>
  <cp:lastPrinted>2018-06-22T13:58:00Z</cp:lastPrinted>
  <dcterms:modified xsi:type="dcterms:W3CDTF">2024-04-14T22:24:03Z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1036-12.2.0.13489</vt:lpwstr>
  </property>
  <property fmtid="{D5CDD505-2E9C-101B-9397-08002B2CF9AE}" pid="3" name="ICV">
    <vt:lpwstr>954C86D7FCC9469E8F7C9BA236E1F02D_13</vt:lpwstr>
  </property>
</Properties>
</file>