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1BA5" w14:textId="77777777" w:rsidR="00CE6D9A" w:rsidRDefault="00CE6D9A" w:rsidP="000F05BF">
      <w:pPr>
        <w:spacing w:before="120"/>
        <w:jc w:val="both"/>
        <w:rPr>
          <w:b/>
          <w:bCs/>
        </w:rPr>
      </w:pPr>
    </w:p>
    <w:p w14:paraId="4EAA8373" w14:textId="77777777" w:rsidR="00CE6D9A" w:rsidRDefault="00CE6D9A" w:rsidP="00CE6D9A">
      <w:pPr>
        <w:ind w:firstLine="708"/>
        <w:rPr>
          <w:sz w:val="28"/>
          <w:szCs w:val="28"/>
        </w:rPr>
      </w:pPr>
    </w:p>
    <w:p w14:paraId="7E81ABF0" w14:textId="77777777" w:rsidR="00CE6D9A" w:rsidRDefault="00CE6D9A" w:rsidP="00CE6D9A">
      <w:pPr>
        <w:jc w:val="center"/>
      </w:pPr>
      <w:r>
        <w:rPr>
          <w:noProof/>
          <w:lang w:eastAsia="fr-FR"/>
        </w:rPr>
        <w:drawing>
          <wp:inline distT="0" distB="0" distL="0" distR="0" wp14:anchorId="3F0885B4" wp14:editId="44FE2C3F">
            <wp:extent cx="1337310" cy="1138555"/>
            <wp:effectExtent l="19050" t="0" r="0" b="0"/>
            <wp:docPr id="1" name="Image 1" descr="lw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wf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E1C3C" w14:textId="77777777" w:rsidR="00CE6D9A" w:rsidRPr="00EE1874" w:rsidRDefault="00CE6D9A" w:rsidP="00CE6D9A">
      <w:pPr>
        <w:pStyle w:val="Titre"/>
        <w:outlineLvl w:val="0"/>
        <w:rPr>
          <w:b w:val="0"/>
          <w:bCs w:val="0"/>
          <w:caps/>
          <w:sz w:val="40"/>
          <w:szCs w:val="40"/>
        </w:rPr>
      </w:pPr>
      <w:r w:rsidRPr="00EE1874">
        <w:rPr>
          <w:sz w:val="40"/>
          <w:szCs w:val="40"/>
        </w:rPr>
        <w:t>UNIVERSITE ABDELMALEK ESSAADI</w:t>
      </w:r>
    </w:p>
    <w:p w14:paraId="657E01FC" w14:textId="77777777" w:rsidR="00CE6D9A" w:rsidRDefault="00CE6D9A" w:rsidP="00CE6D9A"/>
    <w:p w14:paraId="2E1F18BC" w14:textId="77777777" w:rsidR="00CE6D9A" w:rsidRDefault="00CE6D9A" w:rsidP="00CE6D9A"/>
    <w:p w14:paraId="7A04A542" w14:textId="77777777" w:rsidR="00CE6D9A" w:rsidRDefault="00CE6D9A" w:rsidP="00CE6D9A"/>
    <w:p w14:paraId="2BB959CE" w14:textId="77777777" w:rsidR="00CE6D9A" w:rsidRPr="00EE1874" w:rsidRDefault="00CE6D9A" w:rsidP="00CE6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44"/>
          <w:szCs w:val="44"/>
          <w:lang w:eastAsia="fr-FR"/>
        </w:rPr>
      </w:pPr>
      <w:r w:rsidRPr="00EE1874">
        <w:rPr>
          <w:rFonts w:eastAsia="Times New Roman"/>
          <w:b/>
          <w:bCs/>
          <w:caps/>
          <w:sz w:val="44"/>
          <w:szCs w:val="44"/>
          <w:lang w:eastAsia="fr-FR"/>
        </w:rPr>
        <w:t>Diplôme d’Université</w:t>
      </w:r>
    </w:p>
    <w:p w14:paraId="00B706B6" w14:textId="77777777" w:rsidR="00CE6D9A" w:rsidRPr="00EB2AD6" w:rsidRDefault="00CE6D9A" w:rsidP="00F2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color w:val="0070C0"/>
          <w:sz w:val="36"/>
          <w:szCs w:val="36"/>
          <w:lang w:eastAsia="fr-FR"/>
        </w:rPr>
      </w:pPr>
      <w:r w:rsidRPr="005F182D">
        <w:rPr>
          <w:rFonts w:ascii="Rockwell Extra Bold" w:eastAsia="Times New Roman" w:hAnsi="Rockwell Extra Bold"/>
          <w:b/>
          <w:bCs/>
          <w:caps/>
          <w:color w:val="0070C0"/>
          <w:sz w:val="36"/>
          <w:szCs w:val="36"/>
          <w:u w:val="single"/>
          <w:lang w:eastAsia="fr-FR"/>
        </w:rPr>
        <w:t>DC</w:t>
      </w:r>
      <w:r w:rsidR="00F22D09">
        <w:rPr>
          <w:rFonts w:ascii="Rockwell Extra Bold" w:eastAsia="Times New Roman" w:hAnsi="Rockwell Extra Bold"/>
          <w:b/>
          <w:bCs/>
          <w:caps/>
          <w:color w:val="0070C0"/>
          <w:sz w:val="36"/>
          <w:szCs w:val="36"/>
          <w:u w:val="single"/>
          <w:lang w:eastAsia="fr-FR"/>
        </w:rPr>
        <w:t>A</w:t>
      </w:r>
      <w:r w:rsidRPr="00EB2AD6">
        <w:rPr>
          <w:rFonts w:eastAsia="Times New Roman"/>
          <w:b/>
          <w:bCs/>
          <w:caps/>
          <w:color w:val="0070C0"/>
          <w:sz w:val="36"/>
          <w:szCs w:val="36"/>
          <w:lang w:eastAsia="fr-FR"/>
        </w:rPr>
        <w:t xml:space="preserve">          </w:t>
      </w:r>
    </w:p>
    <w:p w14:paraId="0889238D" w14:textId="77777777" w:rsidR="00CE6D9A" w:rsidRDefault="00CE6D9A" w:rsidP="00CE6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32"/>
          <w:szCs w:val="32"/>
          <w:lang w:eastAsia="fr-FR"/>
        </w:rPr>
      </w:pPr>
    </w:p>
    <w:p w14:paraId="7F86DA14" w14:textId="4695CCBD" w:rsidR="00CE6D9A" w:rsidRDefault="00CE6D9A" w:rsidP="00661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44"/>
          <w:szCs w:val="44"/>
          <w:lang w:eastAsia="fr-FR"/>
        </w:rPr>
      </w:pPr>
      <w:r w:rsidRPr="00EB2AD6">
        <w:rPr>
          <w:rFonts w:eastAsia="Times New Roman"/>
          <w:b/>
          <w:bCs/>
          <w:caps/>
          <w:sz w:val="32"/>
          <w:szCs w:val="32"/>
          <w:lang w:eastAsia="fr-FR"/>
        </w:rPr>
        <w:t>Titre :</w:t>
      </w:r>
      <w:r>
        <w:rPr>
          <w:rFonts w:eastAsia="Times New Roman"/>
          <w:b/>
          <w:bCs/>
          <w:caps/>
          <w:sz w:val="44"/>
          <w:szCs w:val="44"/>
          <w:lang w:eastAsia="fr-FR"/>
        </w:rPr>
        <w:t xml:space="preserve"> </w:t>
      </w:r>
      <w:r w:rsidR="00F22D09" w:rsidRPr="009B380B">
        <w:rPr>
          <w:rFonts w:eastAsia="Times New Roman"/>
          <w:b/>
          <w:bCs/>
          <w:caps/>
          <w:sz w:val="32"/>
          <w:szCs w:val="32"/>
          <w:lang w:eastAsia="fr-FR"/>
        </w:rPr>
        <w:t>GENIE</w:t>
      </w:r>
      <w:r w:rsidRPr="009B380B">
        <w:rPr>
          <w:rFonts w:eastAsia="Times New Roman"/>
          <w:b/>
          <w:bCs/>
          <w:caps/>
          <w:sz w:val="32"/>
          <w:szCs w:val="32"/>
          <w:lang w:eastAsia="fr-FR"/>
        </w:rPr>
        <w:t xml:space="preserve"> des systèmes Industriel</w:t>
      </w:r>
      <w:r w:rsidR="00F22D09" w:rsidRPr="009B380B">
        <w:rPr>
          <w:rFonts w:eastAsia="Times New Roman"/>
          <w:b/>
          <w:bCs/>
          <w:caps/>
          <w:sz w:val="32"/>
          <w:szCs w:val="32"/>
          <w:lang w:eastAsia="fr-FR"/>
        </w:rPr>
        <w:t>S</w:t>
      </w:r>
      <w:r>
        <w:rPr>
          <w:rFonts w:eastAsia="Times New Roman"/>
          <w:b/>
          <w:bCs/>
          <w:caps/>
          <w:sz w:val="44"/>
          <w:szCs w:val="44"/>
          <w:lang w:eastAsia="fr-FR"/>
        </w:rPr>
        <w:t xml:space="preserve"> </w:t>
      </w:r>
    </w:p>
    <w:p w14:paraId="7BDC3803" w14:textId="77777777" w:rsidR="00661A80" w:rsidRPr="00661A80" w:rsidRDefault="00661A80" w:rsidP="00661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44"/>
          <w:szCs w:val="44"/>
          <w:lang w:eastAsia="fr-FR"/>
        </w:rPr>
      </w:pPr>
    </w:p>
    <w:p w14:paraId="736936EF" w14:textId="4A5DC4A0" w:rsidR="00CE6D9A" w:rsidRDefault="00CE6D9A" w:rsidP="00CE6D9A">
      <w:pPr>
        <w:jc w:val="center"/>
        <w:rPr>
          <w:b/>
          <w:bCs/>
          <w:sz w:val="32"/>
          <w:szCs w:val="32"/>
        </w:rPr>
      </w:pPr>
    </w:p>
    <w:p w14:paraId="0A4CF995" w14:textId="460F793C" w:rsidR="00661A80" w:rsidRDefault="00661A80" w:rsidP="00CE6D9A">
      <w:pPr>
        <w:jc w:val="center"/>
        <w:rPr>
          <w:b/>
          <w:bCs/>
          <w:sz w:val="32"/>
          <w:szCs w:val="32"/>
        </w:rPr>
      </w:pPr>
    </w:p>
    <w:p w14:paraId="5AAABDCC" w14:textId="77777777" w:rsidR="00661A80" w:rsidRPr="00720437" w:rsidRDefault="00661A80" w:rsidP="00CE6D9A">
      <w:pPr>
        <w:jc w:val="center"/>
        <w:rPr>
          <w:b/>
          <w:bCs/>
          <w:sz w:val="32"/>
          <w:szCs w:val="32"/>
        </w:rPr>
      </w:pPr>
    </w:p>
    <w:p w14:paraId="266D70D4" w14:textId="77777777" w:rsidR="00CE6D9A" w:rsidRPr="00720437" w:rsidRDefault="00CE6D9A" w:rsidP="00CE6D9A">
      <w:pPr>
        <w:jc w:val="center"/>
        <w:rPr>
          <w:b/>
          <w:bCs/>
          <w:sz w:val="32"/>
          <w:szCs w:val="32"/>
        </w:rPr>
      </w:pPr>
    </w:p>
    <w:p w14:paraId="4F8E2E2F" w14:textId="77777777" w:rsidR="00CE6D9A" w:rsidRPr="00720437" w:rsidRDefault="00CE6D9A" w:rsidP="00CE6D9A">
      <w:pPr>
        <w:jc w:val="center"/>
        <w:rPr>
          <w:b/>
          <w:bCs/>
          <w:sz w:val="32"/>
          <w:szCs w:val="32"/>
        </w:rPr>
      </w:pPr>
    </w:p>
    <w:p w14:paraId="36184579" w14:textId="77777777" w:rsidR="00CE6D9A" w:rsidRDefault="00CE6D9A" w:rsidP="00F22D09">
      <w:pPr>
        <w:jc w:val="center"/>
        <w:rPr>
          <w:b/>
          <w:bCs/>
          <w:sz w:val="32"/>
          <w:szCs w:val="32"/>
        </w:rPr>
      </w:pPr>
      <w:r w:rsidRPr="00720437">
        <w:rPr>
          <w:b/>
          <w:bCs/>
          <w:sz w:val="32"/>
          <w:szCs w:val="32"/>
        </w:rPr>
        <w:t>Responsable pédagogique</w:t>
      </w:r>
      <w:r>
        <w:rPr>
          <w:b/>
          <w:bCs/>
          <w:sz w:val="32"/>
          <w:szCs w:val="32"/>
        </w:rPr>
        <w:t> </w:t>
      </w:r>
      <w:r w:rsidRPr="004428C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F22D09">
        <w:rPr>
          <w:b/>
          <w:bCs/>
          <w:sz w:val="32"/>
          <w:szCs w:val="32"/>
        </w:rPr>
        <w:t>Driss SARSRI</w:t>
      </w:r>
    </w:p>
    <w:p w14:paraId="5C2DFF9B" w14:textId="77777777" w:rsidR="00CE6D9A" w:rsidRPr="00720437" w:rsidRDefault="00CE6D9A" w:rsidP="00CE6D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Etablissement : </w:t>
      </w:r>
      <w:r w:rsidRPr="00695182">
        <w:rPr>
          <w:b/>
          <w:bCs/>
          <w:sz w:val="28"/>
          <w:szCs w:val="28"/>
        </w:rPr>
        <w:t xml:space="preserve">ENSA DE TANGER     </w:t>
      </w:r>
    </w:p>
    <w:p w14:paraId="6BB3D68A" w14:textId="77777777" w:rsidR="00CE6D9A" w:rsidRPr="00720437" w:rsidRDefault="00CE6D9A" w:rsidP="00CE6D9A">
      <w:pPr>
        <w:jc w:val="center"/>
        <w:rPr>
          <w:b/>
          <w:bCs/>
          <w:sz w:val="32"/>
          <w:szCs w:val="32"/>
        </w:rPr>
      </w:pPr>
    </w:p>
    <w:p w14:paraId="6D3A6849" w14:textId="77777777" w:rsidR="00CE6D9A" w:rsidRDefault="00CE6D9A" w:rsidP="00CE6D9A">
      <w:pPr>
        <w:spacing w:before="120"/>
        <w:jc w:val="both"/>
        <w:rPr>
          <w:b/>
          <w:bCs/>
        </w:rPr>
      </w:pPr>
      <w:r>
        <w:rPr>
          <w:b/>
          <w:bCs/>
          <w:sz w:val="32"/>
          <w:szCs w:val="32"/>
        </w:rPr>
        <w:br w:type="page"/>
      </w:r>
    </w:p>
    <w:p w14:paraId="74BFB7F8" w14:textId="77777777" w:rsidR="000F05BF" w:rsidRDefault="000F05BF" w:rsidP="000F05BF">
      <w:pPr>
        <w:spacing w:before="120"/>
        <w:jc w:val="both"/>
        <w:rPr>
          <w:b/>
          <w:bCs/>
        </w:rPr>
      </w:pPr>
      <w:r w:rsidRPr="000F05BF">
        <w:rPr>
          <w:b/>
          <w:bCs/>
        </w:rPr>
        <w:lastRenderedPageBreak/>
        <w:t>1. Objectifs</w:t>
      </w:r>
      <w:r>
        <w:rPr>
          <w:b/>
          <w:bCs/>
        </w:rPr>
        <w:t> </w:t>
      </w:r>
      <w:r w:rsidRPr="000F05BF">
        <w:rPr>
          <w:b/>
          <w:bCs/>
        </w:rPr>
        <w:t xml:space="preserve"> </w:t>
      </w:r>
    </w:p>
    <w:p w14:paraId="7A01A43E" w14:textId="77777777" w:rsidR="00F22D09" w:rsidRPr="000F05BF" w:rsidRDefault="00F22D09" w:rsidP="000F05BF">
      <w:pPr>
        <w:spacing w:before="120"/>
        <w:jc w:val="both"/>
        <w:rPr>
          <w:b/>
          <w:bCs/>
        </w:rPr>
      </w:pPr>
    </w:p>
    <w:p w14:paraId="2C06E82B" w14:textId="5C7AFE50" w:rsidR="00F22D09" w:rsidRPr="00F22D09" w:rsidRDefault="00F22D09" w:rsidP="00F22D09">
      <w:pPr>
        <w:autoSpaceDE w:val="0"/>
        <w:autoSpaceDN w:val="0"/>
        <w:adjustRightInd w:val="0"/>
        <w:jc w:val="both"/>
      </w:pPr>
      <w:r w:rsidRPr="00F22D09">
        <w:t xml:space="preserve">La formation en </w:t>
      </w:r>
      <w:r w:rsidRPr="00F22D09">
        <w:rPr>
          <w:b/>
          <w:bCs/>
        </w:rPr>
        <w:t>Génie des Systèmes Industriels</w:t>
      </w:r>
      <w:r w:rsidRPr="00F22D09">
        <w:t xml:space="preserve"> </w:t>
      </w:r>
      <w:r w:rsidRPr="00F22D09">
        <w:rPr>
          <w:rStyle w:val="googqs-tidbit-0"/>
        </w:rPr>
        <w:t>a pour objectif de former des</w:t>
      </w:r>
      <w:r w:rsidRPr="00F22D09">
        <w:t xml:space="preserve"> professionnels aptes de concevoir, d’organiser, d’implanter ou de piloter des systèmes industriels. Le programme a été conçu pour doter les étudiants de compétences techniques, mécaniques, électriques, informatiques et managériales actuelles et de haut niveau, d'une vision transversale du fonctionnement de l'entreprise, condition de sa performance.</w:t>
      </w:r>
    </w:p>
    <w:p w14:paraId="20058706" w14:textId="77777777" w:rsidR="000F05BF" w:rsidRPr="00F22D09" w:rsidRDefault="00F22D09" w:rsidP="00F22D09">
      <w:pPr>
        <w:spacing w:before="120"/>
        <w:jc w:val="both"/>
      </w:pPr>
      <w:r w:rsidRPr="00F22D09">
        <w:t xml:space="preserve">Cette formation permet de développer une </w:t>
      </w:r>
      <w:r w:rsidRPr="00F22D09">
        <w:rPr>
          <w:b/>
          <w:bCs/>
        </w:rPr>
        <w:t>double compétence industrielle et managériale</w:t>
      </w:r>
      <w:r w:rsidRPr="00F22D09">
        <w:t>, très recherchée par les entreprises.</w:t>
      </w:r>
    </w:p>
    <w:p w14:paraId="0F19BD03" w14:textId="77777777" w:rsidR="00F22D09" w:rsidRDefault="00F22D09" w:rsidP="000F05BF">
      <w:pPr>
        <w:spacing w:before="120"/>
        <w:jc w:val="both"/>
        <w:rPr>
          <w:b/>
          <w:bCs/>
        </w:rPr>
      </w:pPr>
    </w:p>
    <w:p w14:paraId="6974C8AC" w14:textId="77777777" w:rsidR="000F05BF" w:rsidRPr="000F05BF" w:rsidRDefault="000F05BF" w:rsidP="000F05BF">
      <w:pPr>
        <w:spacing w:before="120"/>
        <w:jc w:val="both"/>
        <w:rPr>
          <w:b/>
          <w:bCs/>
        </w:rPr>
      </w:pPr>
      <w:r w:rsidRPr="000F05BF">
        <w:rPr>
          <w:b/>
          <w:bCs/>
        </w:rPr>
        <w:t>2. Conditions d’accès</w:t>
      </w:r>
      <w:r>
        <w:rPr>
          <w:b/>
          <w:bCs/>
        </w:rPr>
        <w:t> </w:t>
      </w:r>
    </w:p>
    <w:p w14:paraId="40434B3F" w14:textId="77777777" w:rsidR="00F22D09" w:rsidRDefault="00F22D09" w:rsidP="00F22D09">
      <w:pPr>
        <w:jc w:val="both"/>
        <w:rPr>
          <w:sz w:val="26"/>
        </w:rPr>
      </w:pPr>
    </w:p>
    <w:p w14:paraId="70AA84C7" w14:textId="3B908A91" w:rsidR="00F22D09" w:rsidRDefault="00F22D09" w:rsidP="00F22D09">
      <w:pPr>
        <w:jc w:val="both"/>
        <w:rPr>
          <w:sz w:val="26"/>
        </w:rPr>
      </w:pPr>
      <w:r>
        <w:rPr>
          <w:sz w:val="26"/>
        </w:rPr>
        <w:t>Le DCA « </w:t>
      </w:r>
      <w:r w:rsidRPr="00400D20">
        <w:rPr>
          <w:b/>
          <w:bCs/>
          <w:sz w:val="26"/>
        </w:rPr>
        <w:t xml:space="preserve">Génie des Systèmes </w:t>
      </w:r>
      <w:r w:rsidR="009D25BC" w:rsidRPr="00400D20">
        <w:rPr>
          <w:b/>
          <w:bCs/>
          <w:sz w:val="26"/>
        </w:rPr>
        <w:t>Industriels</w:t>
      </w:r>
      <w:r w:rsidR="009D25BC">
        <w:rPr>
          <w:sz w:val="26"/>
        </w:rPr>
        <w:t xml:space="preserve"> »</w:t>
      </w:r>
      <w:r>
        <w:rPr>
          <w:sz w:val="26"/>
        </w:rPr>
        <w:t xml:space="preserve"> </w:t>
      </w:r>
      <w:r w:rsidRPr="008E1DAF">
        <w:t>est ouvert aux étudiants et cadres d’entreprises</w:t>
      </w:r>
      <w:r>
        <w:rPr>
          <w:sz w:val="26"/>
        </w:rPr>
        <w:t xml:space="preserve"> </w:t>
      </w:r>
      <w:r w:rsidRPr="008E1DAF">
        <w:t xml:space="preserve">ayant l’un des </w:t>
      </w:r>
      <w:r w:rsidR="009D25BC" w:rsidRPr="008E1DAF">
        <w:t>diplômes suivants</w:t>
      </w:r>
      <w:r w:rsidRPr="008E1DAF">
        <w:t> :</w:t>
      </w:r>
    </w:p>
    <w:p w14:paraId="58B4BEC7" w14:textId="77777777" w:rsidR="00F22D09" w:rsidRPr="00400D20" w:rsidRDefault="00F22D09" w:rsidP="00F22D09">
      <w:pPr>
        <w:jc w:val="both"/>
        <w:rPr>
          <w:sz w:val="26"/>
        </w:rPr>
      </w:pPr>
    </w:p>
    <w:p w14:paraId="2907B521" w14:textId="77777777" w:rsidR="00F22D09" w:rsidRPr="008E1DAF" w:rsidRDefault="00F22D09" w:rsidP="00F22D09">
      <w:pPr>
        <w:numPr>
          <w:ilvl w:val="0"/>
          <w:numId w:val="7"/>
        </w:numPr>
        <w:tabs>
          <w:tab w:val="clear" w:pos="720"/>
          <w:tab w:val="num" w:pos="540"/>
        </w:tabs>
        <w:ind w:left="540"/>
      </w:pPr>
      <w:r w:rsidRPr="008E1DAF">
        <w:t xml:space="preserve">Titulaires d’un DEUG, DEUST ou DEUP. </w:t>
      </w:r>
    </w:p>
    <w:p w14:paraId="27BC8EDA" w14:textId="77777777" w:rsidR="00F22D09" w:rsidRPr="008E1DAF" w:rsidRDefault="00F22D09" w:rsidP="00F22D09">
      <w:pPr>
        <w:numPr>
          <w:ilvl w:val="0"/>
          <w:numId w:val="7"/>
        </w:numPr>
        <w:tabs>
          <w:tab w:val="clear" w:pos="720"/>
          <w:tab w:val="num" w:pos="540"/>
        </w:tabs>
        <w:ind w:left="540"/>
      </w:pPr>
      <w:r w:rsidRPr="008E1DAF">
        <w:t>Tout diplôme de niveau bac+2 donné par les établissements privés relevant de l’enseignement supérieur.</w:t>
      </w:r>
    </w:p>
    <w:p w14:paraId="07C10F33" w14:textId="77777777" w:rsidR="00F22D09" w:rsidRPr="008E1DAF" w:rsidRDefault="00F22D09" w:rsidP="00F22D09">
      <w:pPr>
        <w:numPr>
          <w:ilvl w:val="0"/>
          <w:numId w:val="7"/>
        </w:numPr>
        <w:tabs>
          <w:tab w:val="clear" w:pos="720"/>
          <w:tab w:val="num" w:pos="540"/>
        </w:tabs>
        <w:ind w:left="540"/>
      </w:pPr>
      <w:r w:rsidRPr="008E1DAF">
        <w:t>Tout diplôme de niveau bac+2 donné par les établissements publics relevant de la formation professionnelle (ISTA).</w:t>
      </w:r>
    </w:p>
    <w:p w14:paraId="1470CE61" w14:textId="77777777" w:rsidR="00F22D09" w:rsidRPr="008E1DAF" w:rsidRDefault="00F22D09" w:rsidP="00F22D09">
      <w:pPr>
        <w:numPr>
          <w:ilvl w:val="0"/>
          <w:numId w:val="7"/>
        </w:numPr>
        <w:tabs>
          <w:tab w:val="clear" w:pos="720"/>
          <w:tab w:val="num" w:pos="540"/>
        </w:tabs>
        <w:ind w:left="540"/>
      </w:pPr>
      <w:r w:rsidRPr="008E1DAF">
        <w:t>Tout diplôme de niveau bac+2 donné par les établissements privés accrédités par la formation professionnelle (accréditation exigée)</w:t>
      </w:r>
    </w:p>
    <w:p w14:paraId="46AA1137" w14:textId="77777777" w:rsidR="00F22D09" w:rsidRPr="008E1DAF" w:rsidRDefault="00F22D09" w:rsidP="00F22D09">
      <w:pPr>
        <w:numPr>
          <w:ilvl w:val="0"/>
          <w:numId w:val="7"/>
        </w:numPr>
        <w:tabs>
          <w:tab w:val="clear" w:pos="720"/>
          <w:tab w:val="num" w:pos="540"/>
        </w:tabs>
        <w:ind w:left="540"/>
      </w:pPr>
      <w:r w:rsidRPr="008E1DAF">
        <w:t>Tout diplôme étranger reconnu équivalent.</w:t>
      </w:r>
    </w:p>
    <w:p w14:paraId="05634ABE" w14:textId="77777777" w:rsidR="00F22D09" w:rsidRPr="008E1DAF" w:rsidRDefault="00F22D09" w:rsidP="00F22D09">
      <w:pPr>
        <w:numPr>
          <w:ilvl w:val="0"/>
          <w:numId w:val="7"/>
        </w:numPr>
        <w:tabs>
          <w:tab w:val="clear" w:pos="720"/>
          <w:tab w:val="num" w:pos="540"/>
        </w:tabs>
        <w:ind w:left="540"/>
      </w:pPr>
      <w:r w:rsidRPr="008E1DAF">
        <w:t xml:space="preserve">Toute personne qui n’a pas les diplômes ci-dessus, qui a de l’expérience professionnelle, peut déposer une demande pour valider les Acquis de l’Expérience par la CPU qui </w:t>
      </w:r>
      <w:proofErr w:type="gramStart"/>
      <w:r w:rsidRPr="008E1DAF">
        <w:t>décidera  de</w:t>
      </w:r>
      <w:proofErr w:type="gramEnd"/>
      <w:r w:rsidRPr="008E1DAF">
        <w:t xml:space="preserve"> la recevabilité ou pas. </w:t>
      </w:r>
    </w:p>
    <w:p w14:paraId="4D3713BE" w14:textId="77777777" w:rsidR="00B3071B" w:rsidRPr="009C2B4E" w:rsidRDefault="00445B40" w:rsidP="009C2B4E">
      <w:pPr>
        <w:spacing w:before="100" w:beforeAutospacing="1" w:after="100" w:afterAutospacing="1"/>
        <w:rPr>
          <w:rFonts w:eastAsia="Times New Roman"/>
          <w:sz w:val="22"/>
          <w:szCs w:val="22"/>
          <w:lang w:eastAsia="fr-FR"/>
        </w:rPr>
      </w:pPr>
      <w:r w:rsidRPr="00445B40">
        <w:rPr>
          <w:rFonts w:eastAsia="Times New Roman"/>
          <w:sz w:val="22"/>
          <w:szCs w:val="22"/>
          <w:lang w:eastAsia="fr-FR"/>
        </w:rPr>
        <w:t xml:space="preserve"> </w:t>
      </w:r>
    </w:p>
    <w:p w14:paraId="54FD4D1E" w14:textId="77777777" w:rsidR="00B3071B" w:rsidRPr="00F12028" w:rsidRDefault="009C2B4E" w:rsidP="009C2B4E">
      <w:pPr>
        <w:pStyle w:val="soustitre"/>
      </w:pPr>
      <w:r>
        <w:t>4</w:t>
      </w:r>
      <w:r w:rsidR="00F22D09">
        <w:t xml:space="preserve">. </w:t>
      </w:r>
      <w:r w:rsidR="00B3071B" w:rsidRPr="00F12028">
        <w:t>Modalités d’obtention du diplôme :</w:t>
      </w:r>
    </w:p>
    <w:p w14:paraId="148463B9" w14:textId="77777777" w:rsidR="00877529" w:rsidRPr="00877529" w:rsidRDefault="00877529" w:rsidP="009C2B4E">
      <w:pPr>
        <w:pStyle w:val="soustitre"/>
      </w:pPr>
    </w:p>
    <w:p w14:paraId="35F2724B" w14:textId="77777777" w:rsidR="00B3071B" w:rsidRPr="00B3071B" w:rsidRDefault="00B3071B" w:rsidP="005B58A7">
      <w:pPr>
        <w:jc w:val="both"/>
      </w:pPr>
      <w:r w:rsidRPr="00B3071B">
        <w:t xml:space="preserve">Le </w:t>
      </w:r>
      <w:r w:rsidR="005B58A7">
        <w:rPr>
          <w:b/>
          <w:bCs/>
        </w:rPr>
        <w:t xml:space="preserve">Diplôme de Cycle d’approfondissement </w:t>
      </w:r>
      <w:r w:rsidRPr="00B3071B">
        <w:rPr>
          <w:b/>
          <w:bCs/>
        </w:rPr>
        <w:t xml:space="preserve">en </w:t>
      </w:r>
      <w:r w:rsidR="005B58A7" w:rsidRPr="00F22D09">
        <w:rPr>
          <w:b/>
          <w:bCs/>
        </w:rPr>
        <w:t>Génie des Systèmes Industriels</w:t>
      </w:r>
      <w:r w:rsidR="005B58A7" w:rsidRPr="00F22D09">
        <w:t xml:space="preserve"> </w:t>
      </w:r>
      <w:r w:rsidR="005B58A7">
        <w:t>(DCA GSI</w:t>
      </w:r>
      <w:r w:rsidRPr="00B3071B">
        <w:t>) est conditionné par :</w:t>
      </w:r>
    </w:p>
    <w:p w14:paraId="31178907" w14:textId="77777777" w:rsidR="00B3071B" w:rsidRPr="00B3071B" w:rsidRDefault="00B3071B" w:rsidP="00B3071B">
      <w:pPr>
        <w:numPr>
          <w:ilvl w:val="0"/>
          <w:numId w:val="6"/>
        </w:numPr>
        <w:jc w:val="both"/>
      </w:pPr>
      <w:r w:rsidRPr="00B3071B">
        <w:t>L’obtention d’une moyenne générale supérieure ou égale à 10/20 ;</w:t>
      </w:r>
    </w:p>
    <w:p w14:paraId="6EF0ACF4" w14:textId="77777777" w:rsidR="00B3071B" w:rsidRPr="00B3071B" w:rsidRDefault="00B3071B" w:rsidP="00B3071B">
      <w:pPr>
        <w:numPr>
          <w:ilvl w:val="0"/>
          <w:numId w:val="6"/>
        </w:numPr>
        <w:jc w:val="both"/>
      </w:pPr>
      <w:r w:rsidRPr="00B3071B">
        <w:t>La validation des différents modules d’enseignement ;</w:t>
      </w:r>
    </w:p>
    <w:p w14:paraId="2227FD8F" w14:textId="77777777" w:rsidR="00B3071B" w:rsidRPr="00B3071B" w:rsidRDefault="00B3071B" w:rsidP="005B58A7">
      <w:pPr>
        <w:numPr>
          <w:ilvl w:val="0"/>
          <w:numId w:val="6"/>
        </w:numPr>
        <w:jc w:val="both"/>
      </w:pPr>
      <w:r w:rsidRPr="00B3071B">
        <w:t>La validation du</w:t>
      </w:r>
      <w:r w:rsidR="005B58A7">
        <w:t xml:space="preserve"> projet professionnel (PFE)</w:t>
      </w:r>
      <w:r w:rsidRPr="00B3071B">
        <w:t>.</w:t>
      </w:r>
    </w:p>
    <w:p w14:paraId="73372698" w14:textId="77777777" w:rsidR="009C2B4E" w:rsidRDefault="009C2B4E"/>
    <w:sectPr w:rsidR="009C2B4E" w:rsidSect="00176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C45B" w14:textId="77777777" w:rsidR="00012A7C" w:rsidRDefault="00012A7C" w:rsidP="00445B40">
      <w:r>
        <w:separator/>
      </w:r>
    </w:p>
  </w:endnote>
  <w:endnote w:type="continuationSeparator" w:id="0">
    <w:p w14:paraId="1491267F" w14:textId="77777777" w:rsidR="00012A7C" w:rsidRDefault="00012A7C" w:rsidP="0044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1B7E" w14:textId="77777777" w:rsidR="00012A7C" w:rsidRDefault="00012A7C" w:rsidP="00445B40">
      <w:r>
        <w:separator/>
      </w:r>
    </w:p>
  </w:footnote>
  <w:footnote w:type="continuationSeparator" w:id="0">
    <w:p w14:paraId="60BFDC12" w14:textId="77777777" w:rsidR="00012A7C" w:rsidRDefault="00012A7C" w:rsidP="00445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0D3"/>
    <w:multiLevelType w:val="hybridMultilevel"/>
    <w:tmpl w:val="5C44F5A4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43F7"/>
    <w:multiLevelType w:val="hybridMultilevel"/>
    <w:tmpl w:val="77461C00"/>
    <w:lvl w:ilvl="0" w:tplc="7DAA5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01F86"/>
    <w:multiLevelType w:val="hybridMultilevel"/>
    <w:tmpl w:val="BBC04A2E"/>
    <w:lvl w:ilvl="0" w:tplc="D4D0CDA4">
      <w:start w:val="1"/>
      <w:numFmt w:val="lowerLetter"/>
      <w:lvlText w:val="%1-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66608"/>
    <w:multiLevelType w:val="hybridMultilevel"/>
    <w:tmpl w:val="954C0A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E5376"/>
    <w:multiLevelType w:val="multilevel"/>
    <w:tmpl w:val="2E94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6C356F"/>
    <w:multiLevelType w:val="hybridMultilevel"/>
    <w:tmpl w:val="4A423E9C"/>
    <w:lvl w:ilvl="0" w:tplc="7B782F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D3DF4"/>
    <w:multiLevelType w:val="hybridMultilevel"/>
    <w:tmpl w:val="E998145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109DA"/>
    <w:multiLevelType w:val="hybridMultilevel"/>
    <w:tmpl w:val="76C02C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172414">
    <w:abstractNumId w:val="2"/>
  </w:num>
  <w:num w:numId="2" w16cid:durableId="1536581087">
    <w:abstractNumId w:val="1"/>
  </w:num>
  <w:num w:numId="3" w16cid:durableId="1693069045">
    <w:abstractNumId w:val="0"/>
  </w:num>
  <w:num w:numId="4" w16cid:durableId="781613671">
    <w:abstractNumId w:val="3"/>
  </w:num>
  <w:num w:numId="5" w16cid:durableId="1326588823">
    <w:abstractNumId w:val="4"/>
  </w:num>
  <w:num w:numId="6" w16cid:durableId="2143883423">
    <w:abstractNumId w:val="5"/>
  </w:num>
  <w:num w:numId="7" w16cid:durableId="1023945136">
    <w:abstractNumId w:val="6"/>
  </w:num>
  <w:num w:numId="8" w16cid:durableId="2739029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5BF"/>
    <w:rsid w:val="000113CA"/>
    <w:rsid w:val="00012A7C"/>
    <w:rsid w:val="00063E26"/>
    <w:rsid w:val="00082E58"/>
    <w:rsid w:val="000F05BF"/>
    <w:rsid w:val="0017337B"/>
    <w:rsid w:val="00176E0A"/>
    <w:rsid w:val="001D08EF"/>
    <w:rsid w:val="001D24F0"/>
    <w:rsid w:val="001E7DE1"/>
    <w:rsid w:val="001F3615"/>
    <w:rsid w:val="00241091"/>
    <w:rsid w:val="002615D5"/>
    <w:rsid w:val="002D6D79"/>
    <w:rsid w:val="002E7984"/>
    <w:rsid w:val="00344EC2"/>
    <w:rsid w:val="003E3887"/>
    <w:rsid w:val="003F3019"/>
    <w:rsid w:val="00401659"/>
    <w:rsid w:val="004133D8"/>
    <w:rsid w:val="00445B40"/>
    <w:rsid w:val="004A7778"/>
    <w:rsid w:val="005618CE"/>
    <w:rsid w:val="005B58A7"/>
    <w:rsid w:val="005E3B64"/>
    <w:rsid w:val="00647527"/>
    <w:rsid w:val="006567C2"/>
    <w:rsid w:val="00661A80"/>
    <w:rsid w:val="00682632"/>
    <w:rsid w:val="00724CED"/>
    <w:rsid w:val="00794BE3"/>
    <w:rsid w:val="007B0DF3"/>
    <w:rsid w:val="007C1A4D"/>
    <w:rsid w:val="0081739D"/>
    <w:rsid w:val="0084413B"/>
    <w:rsid w:val="008653D5"/>
    <w:rsid w:val="00877529"/>
    <w:rsid w:val="008C63DF"/>
    <w:rsid w:val="008D12DE"/>
    <w:rsid w:val="009B380B"/>
    <w:rsid w:val="009C2B4E"/>
    <w:rsid w:val="009D25BC"/>
    <w:rsid w:val="009F2363"/>
    <w:rsid w:val="00A11C3B"/>
    <w:rsid w:val="00A646D7"/>
    <w:rsid w:val="00A7463C"/>
    <w:rsid w:val="00AB06A8"/>
    <w:rsid w:val="00AE0042"/>
    <w:rsid w:val="00AF61C1"/>
    <w:rsid w:val="00B3071B"/>
    <w:rsid w:val="00B34255"/>
    <w:rsid w:val="00C43E8E"/>
    <w:rsid w:val="00CE6D9A"/>
    <w:rsid w:val="00D23439"/>
    <w:rsid w:val="00DD170B"/>
    <w:rsid w:val="00E4669A"/>
    <w:rsid w:val="00EA01CD"/>
    <w:rsid w:val="00EB75DD"/>
    <w:rsid w:val="00F02E66"/>
    <w:rsid w:val="00F12028"/>
    <w:rsid w:val="00F22D09"/>
    <w:rsid w:val="00F242FE"/>
    <w:rsid w:val="00F768CB"/>
    <w:rsid w:val="00F92262"/>
    <w:rsid w:val="00FD0C46"/>
    <w:rsid w:val="00FD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7DD3"/>
  <w15:docId w15:val="{D68FEBE6-E4AA-4884-8DF6-0B5C4CE5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5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5BF"/>
    <w:pPr>
      <w:ind w:left="720"/>
      <w:contextualSpacing/>
    </w:pPr>
  </w:style>
  <w:style w:type="paragraph" w:styleId="NormalWeb">
    <w:name w:val="Normal (Web)"/>
    <w:basedOn w:val="Normal"/>
    <w:rsid w:val="000F05BF"/>
    <w:pPr>
      <w:spacing w:before="100" w:beforeAutospacing="1" w:after="100" w:afterAutospacing="1"/>
    </w:pPr>
    <w:rPr>
      <w:rFonts w:eastAsia="Times New Roman"/>
      <w:color w:val="000000"/>
      <w:lang w:eastAsia="fr-FR"/>
    </w:rPr>
  </w:style>
  <w:style w:type="paragraph" w:customStyle="1" w:styleId="Default">
    <w:name w:val="Default"/>
    <w:rsid w:val="000F0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yle5">
    <w:name w:val="style5"/>
    <w:basedOn w:val="Policepardfaut"/>
    <w:rsid w:val="00445B40"/>
  </w:style>
  <w:style w:type="paragraph" w:customStyle="1" w:styleId="soustitre">
    <w:name w:val="sous titre"/>
    <w:basedOn w:val="Normal"/>
    <w:autoRedefine/>
    <w:rsid w:val="009C2B4E"/>
    <w:pPr>
      <w:spacing w:line="26" w:lineRule="atLeast"/>
      <w:jc w:val="both"/>
      <w:outlineLvl w:val="1"/>
    </w:pPr>
    <w:rPr>
      <w:rFonts w:eastAsia="Times New Roman"/>
      <w:b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445B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45B4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semiHidden/>
    <w:unhideWhenUsed/>
    <w:rsid w:val="00445B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5B40"/>
    <w:rPr>
      <w:rFonts w:ascii="Times New Roman" w:eastAsia="SimSun" w:hAnsi="Times New Roman" w:cs="Times New Roman"/>
      <w:sz w:val="24"/>
      <w:szCs w:val="24"/>
      <w:lang w:eastAsia="zh-CN"/>
    </w:rPr>
  </w:style>
  <w:style w:type="table" w:styleId="Grilledutableau">
    <w:name w:val="Table Grid"/>
    <w:basedOn w:val="TableauNormal"/>
    <w:uiPriority w:val="59"/>
    <w:rsid w:val="0087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CE6D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6D9A"/>
    <w:rPr>
      <w:rFonts w:ascii="Times New Roman" w:eastAsia="SimSun" w:hAnsi="Times New Roman" w:cs="Times New Roman"/>
      <w:b/>
      <w:bCs/>
      <w:sz w:val="52"/>
      <w:szCs w:val="52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6D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D9A"/>
    <w:rPr>
      <w:rFonts w:ascii="Tahoma" w:eastAsia="SimSun" w:hAnsi="Tahoma" w:cs="Tahoma"/>
      <w:sz w:val="16"/>
      <w:szCs w:val="16"/>
      <w:lang w:eastAsia="zh-CN"/>
    </w:rPr>
  </w:style>
  <w:style w:type="character" w:customStyle="1" w:styleId="googqs-tidbit-0">
    <w:name w:val="goog_qs-tidbit-0"/>
    <w:basedOn w:val="Policepardfaut"/>
    <w:rsid w:val="00F2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ensat</dc:creator>
  <cp:lastModifiedBy>ENVY</cp:lastModifiedBy>
  <cp:revision>33</cp:revision>
  <cp:lastPrinted>2018-06-22T13:58:00Z</cp:lastPrinted>
  <dcterms:created xsi:type="dcterms:W3CDTF">2013-12-26T14:51:00Z</dcterms:created>
  <dcterms:modified xsi:type="dcterms:W3CDTF">2023-08-01T23:19:00Z</dcterms:modified>
</cp:coreProperties>
</file>