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Times New Roman" w:cs="Times New Roman"/>
          <w:b/>
          <w:bCs/>
          <w:sz w:val="30"/>
          <w:szCs w:val="30"/>
        </w:rPr>
        <w:t>A GIS-based Framework for Urban Traffic CO₂ Simulation Integrating Vehicle Detection and Atmospheric Conditions</w:t>
      </w:r>
    </w:p>
    <w:p>
      <w:pPr>
        <w:pStyle w:val="Normal"/>
        <w:spacing w:before="0" w:after="80"/>
        <w:jc w:val="center"/>
        <w:rPr/>
      </w:pPr>
      <w:r>
        <w:rPr>
          <w:rFonts w:eastAsia="Times New Roman" w:cs="Times New Roman"/>
          <w:sz w:val="24"/>
          <w:szCs w:val="24"/>
        </w:rPr>
        <w:t>Kelig Le Marrec</w:t>
      </w:r>
      <w:r>
        <w:rPr>
          <w:rFonts w:eastAsia="Times New Roman" w:cs="Times New Roman"/>
          <w:sz w:val="18"/>
          <w:szCs w:val="18"/>
          <w:vertAlign w:val="superscript"/>
        </w:rPr>
        <w:t>¹</w:t>
      </w:r>
      <w:r>
        <w:rPr>
          <w:rFonts w:eastAsia="Times New Roman" w:cs="Times New Roman"/>
          <w:sz w:val="24"/>
          <w:szCs w:val="24"/>
        </w:rPr>
        <w:t>, Nguyen Gia Trong</w:t>
      </w:r>
      <w:r>
        <w:rPr>
          <w:rFonts w:eastAsia="Times New Roman" w:cs="Times New Roman"/>
          <w:sz w:val="18"/>
          <w:szCs w:val="18"/>
          <w:vertAlign w:val="superscript"/>
        </w:rPr>
        <w:t>²</w:t>
      </w:r>
    </w:p>
    <w:p>
      <w:pPr>
        <w:pStyle w:val="Normal"/>
        <w:spacing w:before="0" w:after="60"/>
        <w:jc w:val="center"/>
        <w:rPr/>
      </w:pPr>
      <w:r>
        <w:rPr>
          <w:rFonts w:eastAsia="Times New Roman" w:cs="Times New Roman"/>
          <w:sz w:val="18"/>
          <w:szCs w:val="18"/>
          <w:vertAlign w:val="superscript"/>
        </w:rPr>
        <w:t>¹</w:t>
      </w:r>
      <w:r>
        <w:rPr>
          <w:rFonts w:eastAsia="Times New Roman" w:cs="Times New Roman"/>
          <w:i/>
          <w:iCs/>
          <w:sz w:val="24"/>
          <w:szCs w:val="24"/>
        </w:rPr>
        <w:t xml:space="preserve"> </w:t>
      </w:r>
      <w:r>
        <w:rPr>
          <w:rFonts w:eastAsia="Times New Roman" w:cs="Times New Roman"/>
          <w:i/>
          <w:iCs/>
          <w:sz w:val="24"/>
          <w:szCs w:val="24"/>
        </w:rPr>
        <w:t>Polytech Grenoble – INP, Université Grenoble Alpes, Grenoble, France</w:t>
      </w:r>
    </w:p>
    <w:p>
      <w:pPr>
        <w:pStyle w:val="Normal"/>
        <w:spacing w:before="0" w:after="60"/>
        <w:jc w:val="center"/>
        <w:rPr/>
      </w:pPr>
      <w:r>
        <w:rPr>
          <w:rFonts w:eastAsia="Times New Roman" w:cs="Times New Roman"/>
          <w:sz w:val="18"/>
          <w:szCs w:val="18"/>
          <w:vertAlign w:val="superscript"/>
        </w:rPr>
        <w:t>²</w:t>
      </w:r>
      <w:r>
        <w:rPr>
          <w:rFonts w:eastAsia="Times New Roman" w:cs="Times New Roman"/>
          <w:i/>
          <w:iCs/>
          <w:sz w:val="24"/>
          <w:szCs w:val="24"/>
        </w:rPr>
        <w:t xml:space="preserve"> </w:t>
      </w:r>
      <w:r>
        <w:rPr>
          <w:rFonts w:eastAsia="Times New Roman" w:cs="Times New Roman"/>
          <w:i/>
          <w:iCs/>
          <w:sz w:val="24"/>
          <w:szCs w:val="24"/>
        </w:rPr>
        <w:t>Faculty of Geomatics, Hanoi University of Mining and Geology (HUMG), Hanoi, Vietnam</w:t>
      </w:r>
    </w:p>
    <w:p>
      <w:pPr>
        <w:pStyle w:val="Normal"/>
        <w:spacing w:before="0" w:after="280"/>
        <w:jc w:val="center"/>
        <w:rPr/>
      </w:pPr>
      <w:r>
        <w:rPr>
          <w:rFonts w:eastAsia="Times New Roman" w:cs="Times New Roman"/>
          <w:i/>
          <w:iCs/>
          <w:sz w:val="24"/>
          <w:szCs w:val="24"/>
        </w:rPr>
        <w:t>Correspondence: kelig.le-marrec@</w:t>
      </w:r>
      <w:r>
        <w:rPr>
          <w:rFonts w:eastAsia="Times New Roman" w:cs="Times New Roman"/>
          <w:i/>
          <w:iCs/>
          <w:sz w:val="24"/>
          <w:szCs w:val="24"/>
        </w:rPr>
        <w:t>gmail.com</w:t>
      </w:r>
    </w:p>
    <w:p>
      <w:pPr>
        <w:pStyle w:val="Normal"/>
        <w:pBdr/>
        <w:spacing w:before="0" w:after="160"/>
        <w:rPr/>
      </w:pPr>
      <w:r>
        <w:rPr/>
      </w:r>
    </w:p>
    <w:p>
      <w:pPr>
        <w:pStyle w:val="Heading1"/>
        <w:spacing w:before="280" w:after="160"/>
        <w:jc w:val="start"/>
        <w:rPr/>
      </w:pPr>
      <w:r>
        <w:rPr>
          <w:rFonts w:eastAsia="Times New Roman" w:cs="Times New Roman" w:ascii="Times New Roman" w:hAnsi="Times New Roman"/>
          <w:b/>
          <w:bCs/>
          <w:sz w:val="28"/>
          <w:szCs w:val="28"/>
        </w:rPr>
        <w:t>Abstract</w:t>
      </w:r>
    </w:p>
    <w:p>
      <w:pPr>
        <w:pStyle w:val="Normal"/>
        <w:spacing w:lineRule="auto" w:line="276" w:before="0" w:after="160"/>
        <w:rPr/>
      </w:pPr>
      <w:r>
        <w:rPr>
          <w:rFonts w:eastAsia="Times New Roman" w:cs="Times New Roman"/>
          <w:sz w:val="24"/>
          <w:szCs w:val="24"/>
        </w:rPr>
        <w:t>Urban air quality monitoring in dense Southeast Asian metropolises is critically constrained by the cost of physical sensor infrastructure. This paper presents a fully open-source, Python-based simulation framework that estimates street-level CO₂ concentrations without deploying any ground sensors. The framework integrates four complementary modules: (1) a YOLOv8-based vehicle detection module that classifies traffic flow from imagery; (2) a machine-learning CO₂ predictor (linear regression trained on vehicle technical characteristics) that converts vehicle class counts into per-kilometre emission rates using EEA 2023 emission factors; (3) a dynamic atmospheric dispersion engine coupling ERA5 reanalysis data (planetary boundary layer height, PBLH, and 10-m wind vectors) with an urban street-canyon model (Oke, 1988) via a temporal accumulation recurrence equation; and (4) an interactive GIS visualisation layer built with OSMnx, GeoPandas, and Folium rendering results on 501 road segments within a 1.5 km radius of the HUMG campus in Hanoi. Three time scenarios (08:00, 14:00, 22:00 local time) reveal that nocturnal CO₂ concentrations (19.16 µg/m³ at 22:00) exceed afternoon values (14.87 µg/m³ at 14:00) despite a 65% traffic reduction, driven exclusively by the collapse of the PBLH to 170 m. Results are qualitatively validated by the supervising expert and confirm the dominant role of atmospheric boundary-layer dynamics over traffic intensity in determining urban pollution peaks. The approach demonstrates a viable digital-twin methodology for air-quality management in data-sparse urban environments.</w:t>
      </w:r>
    </w:p>
    <w:p>
      <w:pPr>
        <w:pStyle w:val="Normal"/>
        <w:spacing w:before="0" w:after="80"/>
        <w:rPr/>
      </w:pPr>
      <w:r>
        <w:rPr/>
      </w:r>
    </w:p>
    <w:p>
      <w:pPr>
        <w:pStyle w:val="Normal"/>
        <w:spacing w:before="0" w:after="240"/>
        <w:rPr/>
      </w:pPr>
      <w:r>
        <w:rPr>
          <w:rFonts w:eastAsia="Times New Roman" w:cs="Times New Roman"/>
          <w:b/>
          <w:bCs/>
          <w:sz w:val="24"/>
          <w:szCs w:val="24"/>
        </w:rPr>
        <w:t xml:space="preserve">Keywords: </w:t>
      </w:r>
      <w:r>
        <w:rPr>
          <w:rFonts w:eastAsia="Times New Roman" w:cs="Times New Roman"/>
          <w:sz w:val="24"/>
          <w:szCs w:val="24"/>
        </w:rPr>
        <w:t>Urban traffic; CO₂ emission; GIS; Deep learning; YOLOv8; Planetary boundary layer; Street canyon; Urban heat island; Open data; Southeast Asia</w:t>
      </w:r>
    </w:p>
    <w:p>
      <w:pPr>
        <w:pStyle w:val="Normal"/>
        <w:pBdr/>
        <w:spacing w:before="0" w:after="200"/>
        <w:rPr/>
      </w:pPr>
      <w:r>
        <w:rPr/>
      </w:r>
    </w:p>
    <w:p>
      <w:pPr>
        <w:pStyle w:val="Heading1"/>
        <w:spacing w:before="280" w:after="160"/>
        <w:jc w:val="start"/>
        <w:rPr/>
      </w:pPr>
      <w:r>
        <w:rPr>
          <w:rFonts w:eastAsia="Times New Roman" w:cs="Times New Roman" w:ascii="Times New Roman" w:hAnsi="Times New Roman"/>
          <w:b/>
          <w:bCs/>
          <w:sz w:val="28"/>
          <w:szCs w:val="28"/>
        </w:rPr>
        <w:t>1. Introduction</w:t>
      </w:r>
    </w:p>
    <w:p>
      <w:pPr>
        <w:pStyle w:val="Heading2"/>
        <w:spacing w:before="200" w:after="120"/>
        <w:rPr/>
      </w:pPr>
      <w:r>
        <w:rPr>
          <w:rFonts w:eastAsia="Times New Roman" w:cs="Times New Roman" w:ascii="Times New Roman" w:hAnsi="Times New Roman"/>
          <w:b/>
          <w:bCs/>
          <w:i/>
          <w:iCs/>
          <w:sz w:val="24"/>
          <w:szCs w:val="24"/>
        </w:rPr>
        <w:t>1.1 Urban Traffic and CO₂ Emissions</w:t>
      </w:r>
    </w:p>
    <w:p>
      <w:pPr>
        <w:pStyle w:val="Normal"/>
        <w:spacing w:lineRule="auto" w:line="276" w:before="0" w:after="160"/>
        <w:rPr/>
      </w:pPr>
      <w:r>
        <w:rPr>
          <w:rFonts w:eastAsia="Times New Roman" w:cs="Times New Roman"/>
          <w:sz w:val="24"/>
          <w:szCs w:val="24"/>
        </w:rPr>
        <w:t>Rapid urbanisation and the proliferation of motorised transport are among the most significant drivers of atmospheric CO₂ accumulation in developing economies. Hanoi, the capital of Vietnam, exemplifies this challenge: a metropolitan area of more than 8 million inhabitants characterised by an exceptionally high density of two-wheeled motor vehicles, a diverse mix of heavy goods vehicles and buses, and a road network whose geometric properties — narrow street widths, high-rise residential blocks lining arterial corridors — create persistent urban canyon conditions. These canyons trap vehicle exhaust, reduce wind-driven dilution, and amplify the thermal and chemical effects of traffic emissions at the street level (Oke, 1988).</w:t>
      </w:r>
    </w:p>
    <w:p>
      <w:pPr>
        <w:pStyle w:val="Normal"/>
        <w:spacing w:lineRule="auto" w:line="276" w:before="0" w:after="160"/>
        <w:rPr/>
      </w:pPr>
      <w:r>
        <w:rPr>
          <w:rFonts w:eastAsia="Times New Roman" w:cs="Times New Roman"/>
          <w:sz w:val="24"/>
          <w:szCs w:val="24"/>
        </w:rPr>
        <w:t>The accurate quantification of street-level CO₂ concentrations is a prerequisite for evidence-based urban planning, emission mitigation strategies, and public health intervention. Yet, continuous monitoring networks of the kind deployed in European or North American cities remain economically and logistically prohibitive across much of Southeast Asia. The result is a systematic data gap that constrains both scientific understanding and policy response.</w:t>
      </w:r>
    </w:p>
    <w:p>
      <w:pPr>
        <w:pStyle w:val="Heading2"/>
        <w:spacing w:before="200" w:after="120"/>
        <w:rPr/>
      </w:pPr>
      <w:r>
        <w:rPr>
          <w:rFonts w:eastAsia="Times New Roman" w:cs="Times New Roman" w:ascii="Times New Roman" w:hAnsi="Times New Roman"/>
          <w:b/>
          <w:bCs/>
          <w:i/>
          <w:iCs/>
          <w:sz w:val="24"/>
          <w:szCs w:val="24"/>
        </w:rPr>
        <w:t>1.2 Existing Approaches</w:t>
      </w:r>
    </w:p>
    <w:p>
      <w:pPr>
        <w:pStyle w:val="Normal"/>
        <w:spacing w:lineRule="auto" w:line="276" w:before="0" w:after="160"/>
        <w:rPr/>
      </w:pPr>
      <w:r>
        <w:rPr>
          <w:rFonts w:eastAsia="Times New Roman" w:cs="Times New Roman"/>
          <w:sz w:val="24"/>
          <w:szCs w:val="24"/>
        </w:rPr>
        <w:t>Several complementary paradigms have been used to estimate urban vehicular CO₂ emissions. Emission inventory methods (EEA, 2023) assign standardised emission factors per vehicle category and fuel type, providing a regulatory baseline but lacking the spatial and temporal resolution needed to characterise intra-urban gradients. GIS-based approaches spatialise inventory data onto road networks and have been used with increasing sophistication to map pollution hotspots (Kumar et al., 2020). Atmospheric dispersion models, ranging from simple box models to full computational fluid dynamics solvers, incorporate meteorological dynamics but typically require calibration data unavailable in data-sparse settings.</w:t>
      </w:r>
    </w:p>
    <w:p>
      <w:pPr>
        <w:pStyle w:val="Normal"/>
        <w:spacing w:lineRule="auto" w:line="276" w:before="0" w:after="160"/>
        <w:rPr/>
      </w:pPr>
      <w:r>
        <w:rPr>
          <w:rFonts w:eastAsia="Times New Roman" w:cs="Times New Roman"/>
          <w:sz w:val="24"/>
          <w:szCs w:val="24"/>
        </w:rPr>
        <w:t>Computer vision and deep learning have recently opened a complementary path: video analytics based on object detection models such as YOLO (You Only Look Once) can count and classify vehicles in real time from camera imagery, providing direct, scene-specific traffic density inputs without the need for loop-detector infrastructure (Redmon &amp; Farhadi, 2018). Coupling such vision-based traffic counts with emission factors and atmospheric models represents a promising low-cost monitoring paradigm that has yet to be operationalised and validated in a Southeast Asian urban context.</w:t>
      </w:r>
    </w:p>
    <w:p>
      <w:pPr>
        <w:pStyle w:val="Heading2"/>
        <w:spacing w:before="200" w:after="120"/>
        <w:rPr/>
      </w:pPr>
      <w:r>
        <w:rPr>
          <w:rFonts w:eastAsia="Times New Roman" w:cs="Times New Roman" w:ascii="Times New Roman" w:hAnsi="Times New Roman"/>
          <w:b/>
          <w:bCs/>
          <w:i/>
          <w:iCs/>
          <w:sz w:val="24"/>
          <w:szCs w:val="24"/>
        </w:rPr>
        <w:t>1.3 Research Gap</w:t>
      </w:r>
    </w:p>
    <w:p>
      <w:pPr>
        <w:pStyle w:val="Normal"/>
        <w:spacing w:lineRule="auto" w:line="276" w:before="0" w:after="160"/>
        <w:rPr/>
      </w:pPr>
      <w:r>
        <w:rPr>
          <w:rFonts w:eastAsia="Times New Roman" w:cs="Times New Roman"/>
          <w:sz w:val="24"/>
          <w:szCs w:val="24"/>
        </w:rPr>
        <w:t>Existing frameworks typically address one or at most two of the following dimensions: (i) real-time vehicle detection, (ii) per-vehicle emission estimation, (iii) dynamic atmospheric dispersion accounting for temporal boundary-layer dynamics, and (iv) spatially distributed GIS visualisation across a complete road network. No open-source, sensor-free implementation integrating all four dimensions has been demonstrated for a dense Southeast Asian urban environment where nocturnal pollution accumulation — driven by planetary boundary-layer collapse — constitutes a qualitatively different and potentially more hazardous exposure regime than the afternoon traffic peak.</w:t>
      </w:r>
    </w:p>
    <w:p>
      <w:pPr>
        <w:pStyle w:val="Heading2"/>
        <w:spacing w:before="200" w:after="120"/>
        <w:rPr/>
      </w:pPr>
      <w:r>
        <w:rPr>
          <w:rFonts w:eastAsia="Times New Roman" w:cs="Times New Roman" w:ascii="Times New Roman" w:hAnsi="Times New Roman"/>
          <w:b/>
          <w:bCs/>
          <w:i/>
          <w:iCs/>
          <w:sz w:val="24"/>
          <w:szCs w:val="24"/>
        </w:rPr>
        <w:t>1.4 Contributions</w:t>
      </w:r>
    </w:p>
    <w:p>
      <w:pPr>
        <w:pStyle w:val="Normal"/>
        <w:spacing w:lineRule="auto" w:line="276" w:before="0" w:after="160"/>
        <w:rPr/>
      </w:pPr>
      <w:r>
        <w:rPr>
          <w:rFonts w:eastAsia="Times New Roman" w:cs="Times New Roman"/>
          <w:sz w:val="24"/>
          <w:szCs w:val="24"/>
        </w:rPr>
        <w:t>This paper makes the following contributions:</w:t>
      </w:r>
    </w:p>
    <w:p>
      <w:pPr>
        <w:pStyle w:val="Normal"/>
        <w:spacing w:before="80" w:after="80"/>
        <w:ind w:start="720"/>
        <w:rPr/>
      </w:pPr>
      <w:r>
        <w:rPr>
          <w:rFonts w:eastAsia="Times New Roman" w:cs="Times New Roman"/>
          <w:sz w:val="24"/>
          <w:szCs w:val="24"/>
        </w:rPr>
        <w:t>(1) A modular, fully Python-based simulation pipeline coupling YOLOv8 vehicle detection, machine-learning CO₂ prediction, ERA5 atmospheric forcing, and OSMnx road-network geometry into a coherent digital twin of urban air quality.</w:t>
      </w:r>
    </w:p>
    <w:p>
      <w:pPr>
        <w:pStyle w:val="Normal"/>
        <w:spacing w:before="0" w:after="80"/>
        <w:ind w:start="720"/>
        <w:rPr/>
      </w:pPr>
      <w:r>
        <w:rPr>
          <w:rFonts w:eastAsia="Times New Roman" w:cs="Times New Roman"/>
          <w:sz w:val="24"/>
          <w:szCs w:val="24"/>
        </w:rPr>
        <w:t>(2) A demonstration that nocturnal CO₂ accumulation in Hanoi is dominated by planetary boundary-layer dynamics rather than traffic intensity, confirmed across 501 spatially differentiated road segments.</w:t>
      </w:r>
    </w:p>
    <w:p>
      <w:pPr>
        <w:pStyle w:val="Normal"/>
        <w:spacing w:before="0" w:after="200"/>
        <w:ind w:start="720"/>
        <w:rPr/>
      </w:pPr>
      <w:r>
        <w:rPr>
          <w:rFonts w:eastAsia="Times New Roman" w:cs="Times New Roman"/>
          <w:sz w:val="24"/>
          <w:szCs w:val="24"/>
        </w:rPr>
        <w:t>(3) An interactive, browser-ready GIS map delivering street-level CO₂ estimates and urban heat island deltas across three representative time scenarios, requiring no proprietary software or ground-sensor infrastructure.</w:t>
      </w:r>
    </w:p>
    <w:p>
      <w:pPr>
        <w:pStyle w:val="Heading1"/>
        <w:spacing w:before="280" w:after="160"/>
        <w:jc w:val="start"/>
        <w:rPr/>
      </w:pPr>
      <w:r>
        <w:rPr>
          <w:rFonts w:eastAsia="Times New Roman" w:cs="Times New Roman" w:ascii="Times New Roman" w:hAnsi="Times New Roman"/>
          <w:b/>
          <w:bCs/>
          <w:sz w:val="28"/>
          <w:szCs w:val="28"/>
        </w:rPr>
        <w:t>2. Related Work</w:t>
      </w:r>
    </w:p>
    <w:p>
      <w:pPr>
        <w:pStyle w:val="Heading2"/>
        <w:spacing w:before="200" w:after="120"/>
        <w:rPr/>
      </w:pPr>
      <w:r>
        <w:rPr>
          <w:rFonts w:eastAsia="Times New Roman" w:cs="Times New Roman" w:ascii="Times New Roman" w:hAnsi="Times New Roman"/>
          <w:b/>
          <w:bCs/>
          <w:i/>
          <w:iCs/>
          <w:sz w:val="24"/>
          <w:szCs w:val="24"/>
        </w:rPr>
        <w:t>2.1 Vehicle Detection Using Deep Learning</w:t>
      </w:r>
    </w:p>
    <w:p>
      <w:pPr>
        <w:pStyle w:val="Normal"/>
        <w:spacing w:lineRule="auto" w:line="276" w:before="0" w:after="160"/>
        <w:rPr/>
      </w:pPr>
      <w:r>
        <w:rPr>
          <w:rFonts w:eastAsia="Times New Roman" w:cs="Times New Roman"/>
          <w:sz w:val="24"/>
          <w:szCs w:val="24"/>
        </w:rPr>
        <w:t>Real-time object detection has been transformed by single-stage detectors, most notably the YOLO family. YOLOv8 (Ultralytics, 2023) achieves state-of-the-art trade-offs between inference speed and mean average precision on standard benchmarks, making it suitable for deployment on commodity hardware — a critical constraint in resource-limited research settings. Applied to traffic imagery, YOLOv8 and its predecessors have demonstrated reliable detection of cars, trucks, buses, and motorcycles in urban scenes, including complex occlusion scenarios typical of Asian city traffic (Jiang et al., 2022). The model's output — bounding boxes with class labels and confidence scores — provides the vehicle-count inputs required for emission modelling.</w:t>
      </w:r>
    </w:p>
    <w:p>
      <w:pPr>
        <w:pStyle w:val="Heading2"/>
        <w:spacing w:before="200" w:after="120"/>
        <w:rPr/>
      </w:pPr>
      <w:r>
        <w:rPr>
          <w:rFonts w:eastAsia="Times New Roman" w:cs="Times New Roman" w:ascii="Times New Roman" w:hAnsi="Times New Roman"/>
          <w:b/>
          <w:bCs/>
          <w:i/>
          <w:iCs/>
          <w:sz w:val="24"/>
          <w:szCs w:val="24"/>
        </w:rPr>
        <w:t>2.2 Traffic CO₂ Estimation</w:t>
      </w:r>
    </w:p>
    <w:p>
      <w:pPr>
        <w:pStyle w:val="Normal"/>
        <w:spacing w:lineRule="auto" w:line="276" w:before="0" w:after="160"/>
        <w:rPr/>
      </w:pPr>
      <w:r>
        <w:rPr>
          <w:rFonts w:eastAsia="Times New Roman" w:cs="Times New Roman"/>
          <w:sz w:val="24"/>
          <w:szCs w:val="24"/>
        </w:rPr>
        <w:t>The European Environment Agency's EMEP/EEA Air Pollutant Emission Inventory Guidebook (EEA, 2023) is the most widely adopted reference for road transport emission factors. It provides per-kilometre CO₂ emission coefficients disaggregated by vehicle category (passenger cars, light commercial vehicles, heavy-duty vehicles, motorcycles), fuel type, and speed class. Combined with vehicle counts and representative average speeds, these factors produce emission rate estimates that are reproducible and internationally comparable. Machine-learning approaches have been applied to refine these estimates using vehicle-specific technical parameters (engine displacement, number of cylinders, fuel consumption), demonstrating strong linear relationships that justify linear regression as a modelling choice (Mokhtarzadeh et al., 2021).</w:t>
      </w:r>
    </w:p>
    <w:p>
      <w:pPr>
        <w:pStyle w:val="Heading2"/>
        <w:spacing w:before="200" w:after="120"/>
        <w:rPr/>
      </w:pPr>
      <w:r>
        <w:rPr>
          <w:rFonts w:eastAsia="Times New Roman" w:cs="Times New Roman" w:ascii="Times New Roman" w:hAnsi="Times New Roman"/>
          <w:b/>
          <w:bCs/>
          <w:i/>
          <w:iCs/>
          <w:sz w:val="24"/>
          <w:szCs w:val="24"/>
        </w:rPr>
        <w:t>2.3 Street Canyon Models</w:t>
      </w:r>
    </w:p>
    <w:p>
      <w:pPr>
        <w:pStyle w:val="Normal"/>
        <w:spacing w:lineRule="auto" w:line="276" w:before="0" w:after="160"/>
        <w:rPr/>
      </w:pPr>
      <w:r>
        <w:rPr>
          <w:rFonts w:eastAsia="Times New Roman" w:cs="Times New Roman"/>
          <w:sz w:val="24"/>
          <w:szCs w:val="24"/>
        </w:rPr>
        <w:t>The urban street canyon — a built corridor where building height (H) and street width (W) interact to modify wind flow and pollutant dispersion — has been a central concept in urban meteorology since Oke (1988) formulated the H/W ratio as the key geometric descriptor. When H/W &gt; 1 (i.e., building height exceeds street width), reduced wind penetration and recirculating vortices trap pollutants within the canyon. Canyon-level effective wind speed is typically modelled as a fraction of the free-stream velocity, itself modulated by the H/W ratio (Oke, 1988; Vardoulakis et al., 2003). This framework, while simplified relative to full CFD, has been shown to capture the first-order spatial heterogeneity of street-level concentrations and is amenable to GIS-scale application across entire road networks.</w:t>
      </w:r>
    </w:p>
    <w:p>
      <w:pPr>
        <w:pStyle w:val="Heading2"/>
        <w:spacing w:before="200" w:after="120"/>
        <w:rPr/>
      </w:pPr>
      <w:r>
        <w:rPr>
          <w:rFonts w:eastAsia="Times New Roman" w:cs="Times New Roman" w:ascii="Times New Roman" w:hAnsi="Times New Roman"/>
          <w:b/>
          <w:bCs/>
          <w:i/>
          <w:iCs/>
          <w:sz w:val="24"/>
          <w:szCs w:val="24"/>
        </w:rPr>
        <w:t>2.4 GIS-based Air Pollution Mapping</w:t>
      </w:r>
    </w:p>
    <w:p>
      <w:pPr>
        <w:pStyle w:val="Normal"/>
        <w:spacing w:lineRule="auto" w:line="276" w:before="0" w:after="160"/>
        <w:rPr/>
      </w:pPr>
      <w:r>
        <w:rPr>
          <w:rFonts w:eastAsia="Times New Roman" w:cs="Times New Roman"/>
          <w:sz w:val="24"/>
          <w:szCs w:val="24"/>
        </w:rPr>
        <w:t>The fusion of road-network graphs (sourced via OpenStreetMap) with emission and dispersion calculations in a GIS framework enables spatially explicit pollution maps at the street segment level. OSMnx (Boeing, 2017) provides a convenient Python interface for downloading, projecting, and analysing street networks as NetworkX graphs, with building footprint data accessible through the same API. GeoPandas extends pandas DataFrames with geometric operations, enabling spatial joins between road segments and adjacent building footprints. Folium and Leaflet.js enable the delivery of interactive choropleth maps without requiring a GIS server. These open-source tools collectively lower the barrier to reproducible urban air-quality research in settings where proprietary GIS software licences are unaffordable.</w:t>
      </w:r>
    </w:p>
    <w:p>
      <w:pPr>
        <w:pStyle w:val="Normal"/>
        <w:spacing w:lineRule="auto" w:line="276" w:before="0" w:after="160"/>
        <w:rPr/>
      </w:pPr>
      <w:r>
        <w:rPr>
          <w:rFonts w:eastAsia="Times New Roman" w:cs="Times New Roman"/>
          <w:sz w:val="24"/>
          <w:szCs w:val="24"/>
        </w:rPr>
        <w:t>Deng et al. (2023) demonstrated the importance of ERA5 reanalysis data from the Copernicus Climate Data Store for capturing the 'thermal cap' effect of planetary boundary-layer height dynamics on urban air pollution, confirming that ERA5-derived PBLH provides a scientifically sound proxy for atmospheric mixing height in the absence of radiosonde data. Peng et al. (2023) extended this by coupling building-canyon geometry with dynamic PBLH variations to improve the simulation of urban atmospheric CO₂ concentrations, establishing the theoretical framework that underpins the temporal accumulation model employed in the present study.</w:t>
      </w:r>
    </w:p>
    <w:p>
      <w:pPr>
        <w:pStyle w:val="Heading1"/>
        <w:spacing w:before="280" w:after="160"/>
        <w:jc w:val="start"/>
        <w:rPr/>
      </w:pPr>
      <w:r>
        <w:rPr>
          <w:rFonts w:eastAsia="Times New Roman" w:cs="Times New Roman" w:ascii="Times New Roman" w:hAnsi="Times New Roman"/>
          <w:b/>
          <w:bCs/>
          <w:sz w:val="28"/>
          <w:szCs w:val="28"/>
        </w:rPr>
        <w:t>3. Proposed Framework</w:t>
      </w:r>
    </w:p>
    <w:p>
      <w:pPr>
        <w:pStyle w:val="Heading2"/>
        <w:spacing w:before="200" w:after="120"/>
        <w:rPr/>
      </w:pPr>
      <w:r>
        <w:rPr>
          <w:rFonts w:eastAsia="Times New Roman" w:cs="Times New Roman" w:ascii="Times New Roman" w:hAnsi="Times New Roman"/>
          <w:b/>
          <w:bCs/>
          <w:i/>
          <w:iCs/>
          <w:sz w:val="24"/>
          <w:szCs w:val="24"/>
        </w:rPr>
        <w:t>3.1 Overall Architecture</w:t>
      </w:r>
    </w:p>
    <w:p>
      <w:pPr>
        <w:pStyle w:val="Normal"/>
        <w:spacing w:lineRule="auto" w:line="276" w:before="0" w:after="160"/>
        <w:rPr/>
      </w:pPr>
      <w:r>
        <w:rPr>
          <w:rFonts w:eastAsia="Times New Roman" w:cs="Times New Roman"/>
          <w:sz w:val="24"/>
          <w:szCs w:val="24"/>
        </w:rPr>
        <w:t>The framework is structured as four loosely coupled modules communicating through standardised data objects (DataFrames, GeoPackage files, NetCDF arrays). Figure 1 (not reproduced here; see the accompanying interactive HTML deliverable) illustrates the data flow. The decoupled architecture was chosen deliberately to allow each module to be validated, replaced, or extended independently — a methodological requirement for a research system designed to evolve as better data sources become available.</w:t>
      </w:r>
    </w:p>
    <w:p>
      <w:pPr>
        <w:pStyle w:val="Heading2"/>
        <w:spacing w:before="200" w:after="120"/>
        <w:rPr/>
      </w:pPr>
      <w:r>
        <w:rPr>
          <w:rFonts w:eastAsia="Times New Roman" w:cs="Times New Roman" w:ascii="Times New Roman" w:hAnsi="Times New Roman"/>
          <w:b/>
          <w:bCs/>
          <w:i/>
          <w:iCs/>
          <w:sz w:val="24"/>
          <w:szCs w:val="24"/>
        </w:rPr>
        <w:t>3.2 Vehicle Detection Module (vision_test.py)</w:t>
      </w:r>
    </w:p>
    <w:p>
      <w:pPr>
        <w:pStyle w:val="Normal"/>
        <w:spacing w:lineRule="auto" w:line="276" w:before="0" w:after="160"/>
        <w:rPr/>
      </w:pPr>
      <w:r>
        <w:rPr>
          <w:rFonts w:eastAsia="Times New Roman" w:cs="Times New Roman"/>
          <w:sz w:val="24"/>
          <w:szCs w:val="24"/>
        </w:rPr>
        <w:t>Traffic counts are derived from static road-scene images using YOLOv8n (the 'nano' variant, selected to minimise inference time on standard Linux workstations). The model was used with its pre-trained COCO weights without domain-specific fine-tuning, which introduces a known source of uncertainty for Vietnamese traffic scenes characterised by unusual motorcycle densities and vehicle configurations. The script processes each image and returns a count per detected class (car, truck, bus, motorcycle). These counts serve as direct inputs to the emission estimation module.</w:t>
      </w:r>
    </w:p>
    <w:p>
      <w:pPr>
        <w:pStyle w:val="Heading2"/>
        <w:spacing w:before="200" w:after="120"/>
        <w:rPr/>
      </w:pPr>
      <w:r>
        <w:rPr>
          <w:rFonts w:eastAsia="Times New Roman" w:cs="Times New Roman" w:ascii="Times New Roman" w:hAnsi="Times New Roman"/>
          <w:b/>
          <w:bCs/>
          <w:i/>
          <w:iCs/>
          <w:sz w:val="24"/>
          <w:szCs w:val="24"/>
        </w:rPr>
        <w:t>3.3 Vehicle Attribute Assignment</w:t>
      </w:r>
    </w:p>
    <w:p>
      <w:pPr>
        <w:pStyle w:val="Normal"/>
        <w:spacing w:lineRule="auto" w:line="276" w:before="0" w:after="160"/>
        <w:rPr/>
      </w:pPr>
      <w:r>
        <w:rPr>
          <w:rFonts w:eastAsia="Times New Roman" w:cs="Times New Roman"/>
          <w:sz w:val="24"/>
          <w:szCs w:val="24"/>
        </w:rPr>
        <w:t>Each YOLO-detected vehicle class is mapped to a representative technical profile — engine displacement, number of cylinders, and fuel consumption — using a profil_vehicules dictionary. These average profiles reflect typical fleet characteristics for Vietnamese urban traffic based on EMEP/EEA (2023) guidelines. The CO₂ predictor module (co2_predictor.py) then applies a linear regression model, trained on the Canadian vehicle characteristics dataset (CO2 Emissions Canada) as a proxy for establishing the functional relationship between engine parameters and emission rates, to estimate per-vehicle CO₂ output in grams per kilometre.</w:t>
      </w:r>
    </w:p>
    <w:p>
      <w:pPr>
        <w:pStyle w:val="Heading2"/>
        <w:spacing w:before="200" w:after="120"/>
        <w:rPr/>
      </w:pPr>
      <w:r>
        <w:rPr>
          <w:rFonts w:eastAsia="Times New Roman" w:cs="Times New Roman" w:ascii="Times New Roman" w:hAnsi="Times New Roman"/>
          <w:b/>
          <w:bCs/>
          <w:i/>
          <w:iCs/>
          <w:sz w:val="24"/>
          <w:szCs w:val="24"/>
        </w:rPr>
        <w:t>3.4 CO₂ Estimation Module (co2_predictor.py)</w:t>
      </w:r>
    </w:p>
    <w:p>
      <w:pPr>
        <w:pStyle w:val="Normal"/>
        <w:spacing w:lineRule="auto" w:line="276" w:before="0" w:after="160"/>
        <w:rPr/>
      </w:pPr>
      <w:r>
        <w:rPr>
          <w:rFonts w:eastAsia="Times New Roman" w:cs="Times New Roman"/>
          <w:sz w:val="24"/>
          <w:szCs w:val="24"/>
        </w:rPr>
        <w:t>The prediction model implements a scikit-learn LinearRegression fitted on engine displacement, cylinder count, and fuel consumption as predictor variables. Model performance was evaluated on a held-out test set and validated visually via a predicted-versus-actual scatter plot. While the training dataset originates from Canadian vehicles rather than Vietnamese ones, the underlying physical relationship between motor size parameters and CO₂ output is fuel-chemistry-driven and therefore transferable across markets. The estimated emission rate (g/km) for each vehicle class is multiplied by the YOLO-derived count, aggregated across all classes, and passed to the atmospheric module as instantaneous scene-level CO₂ flux.</w:t>
      </w:r>
    </w:p>
    <w:p>
      <w:pPr>
        <w:pStyle w:val="Heading2"/>
        <w:spacing w:before="200" w:after="120"/>
        <w:rPr/>
      </w:pPr>
      <w:r>
        <w:rPr>
          <w:rFonts w:eastAsia="Times New Roman" w:cs="Times New Roman" w:ascii="Times New Roman" w:hAnsi="Times New Roman"/>
          <w:b/>
          <w:bCs/>
          <w:i/>
          <w:iCs/>
          <w:sz w:val="24"/>
          <w:szCs w:val="24"/>
        </w:rPr>
        <w:t>3.5 Atmospheric Integration</w:t>
      </w:r>
    </w:p>
    <w:p>
      <w:pPr>
        <w:pStyle w:val="Normal"/>
        <w:spacing w:lineRule="auto" w:line="276" w:before="0" w:after="160"/>
        <w:rPr/>
      </w:pPr>
      <w:r>
        <w:rPr>
          <w:rFonts w:eastAsia="Times New Roman" w:cs="Times New Roman"/>
          <w:sz w:val="24"/>
          <w:szCs w:val="24"/>
        </w:rPr>
        <w:t>ERA5 hourly reanalysis data — specifically the planetary boundary layer height (PBLH, m) and 10-m eastward and northward wind components (u10, v10, m/s) — are downloaded for the Hanoi bounding box via the Copernicus cdsapi Python client (download_era5_hanoi.py). Data are stored in NetCDF format and processed with xarray. A critical implementation detail is the conversion between ERA5 UTC timestamps and Hanoi local time (UTC+7), which is handled explicitly to ensure that the correct meteorological state is associated with each traffic scenario. The effective horizontal wind speed at street level is derived from the ERA5 10-m wind vector magnitude attenuated by the canyon H/W ratio.</w:t>
      </w:r>
    </w:p>
    <w:p>
      <w:pPr>
        <w:pStyle w:val="Heading2"/>
        <w:spacing w:before="200" w:after="120"/>
        <w:rPr/>
      </w:pPr>
      <w:r>
        <w:rPr>
          <w:rFonts w:eastAsia="Times New Roman" w:cs="Times New Roman" w:ascii="Times New Roman" w:hAnsi="Times New Roman"/>
          <w:b/>
          <w:bCs/>
          <w:i/>
          <w:iCs/>
          <w:sz w:val="24"/>
          <w:szCs w:val="24"/>
        </w:rPr>
        <w:t>3.6 Street Canyon Simulation</w:t>
      </w:r>
    </w:p>
    <w:p>
      <w:pPr>
        <w:pStyle w:val="Normal"/>
        <w:spacing w:lineRule="auto" w:line="276" w:before="0" w:after="160"/>
        <w:rPr/>
      </w:pPr>
      <w:r>
        <w:rPr>
          <w:rFonts w:eastAsia="Times New Roman" w:cs="Times New Roman"/>
          <w:sz w:val="24"/>
          <w:szCs w:val="24"/>
        </w:rPr>
        <w:t>For each road segment, the effective mixing height H</w:t>
      </w:r>
      <w:r>
        <w:rPr>
          <w:rFonts w:eastAsia="Times New Roman" w:cs="Times New Roman"/>
          <w:sz w:val="24"/>
          <w:szCs w:val="24"/>
          <w:vertAlign w:val="subscript"/>
        </w:rPr>
        <w:t>mix</w:t>
      </w:r>
      <w:r>
        <w:rPr>
          <w:rFonts w:eastAsia="Times New Roman" w:cs="Times New Roman"/>
          <w:sz w:val="24"/>
          <w:szCs w:val="24"/>
        </w:rPr>
        <w:t xml:space="preserve"> is defined as the minimum of the ERA5 PBLH and a canyon-limited mixing height proportional to building height. The effective wind speed u</w:t>
      </w:r>
      <w:r>
        <w:rPr>
          <w:rFonts w:eastAsia="Times New Roman" w:cs="Times New Roman"/>
          <w:sz w:val="24"/>
          <w:szCs w:val="24"/>
          <w:vertAlign w:val="subscript"/>
        </w:rPr>
        <w:t>eff</w:t>
      </w:r>
      <w:r>
        <w:rPr>
          <w:rFonts w:eastAsia="Times New Roman" w:cs="Times New Roman"/>
          <w:sz w:val="24"/>
          <w:szCs w:val="24"/>
        </w:rPr>
        <w:t xml:space="preserve"> is computed as a function of the free-stream wind speed and the H/W ratio, following Oke (1988). These geometric parameters are estimated from OSMnx data: street width is inferred from the OSM road type (tertiary: 8 m, residential: 6 m, service: 4 m, primary: 12 m), while building height is derived from the building:levels attribute (default: 3 m per level; default of 4 levels = 12 m where data are absent), averaged over all buildings within a 25 m spatial buffer around each segment.</w:t>
      </w:r>
    </w:p>
    <w:p>
      <w:pPr>
        <w:pStyle w:val="Heading2"/>
        <w:spacing w:before="200" w:after="120"/>
        <w:rPr/>
      </w:pPr>
      <w:r>
        <w:rPr>
          <w:rFonts w:eastAsia="Times New Roman" w:cs="Times New Roman" w:ascii="Times New Roman" w:hAnsi="Times New Roman"/>
          <w:b/>
          <w:bCs/>
          <w:i/>
          <w:iCs/>
          <w:sz w:val="24"/>
          <w:szCs w:val="24"/>
        </w:rPr>
        <w:t>3.7 Spatial Simulation (simulation_spatiale_humg.py)</w:t>
      </w:r>
    </w:p>
    <w:p>
      <w:pPr>
        <w:pStyle w:val="Normal"/>
        <w:spacing w:lineRule="auto" w:line="276" w:before="0" w:after="160"/>
        <w:rPr/>
      </w:pPr>
      <w:r>
        <w:rPr>
          <w:rFonts w:eastAsia="Times New Roman" w:cs="Times New Roman"/>
          <w:sz w:val="24"/>
          <w:szCs w:val="24"/>
        </w:rPr>
        <w:t>The core of the framework is a three-pass dynamic simulation applied independently to each of the 501 road segments in the study area. The temporal accumulation model follows the recurrence relation proposed by Peng et al. (2023):</w:t>
      </w:r>
    </w:p>
    <w:p>
      <w:pPr>
        <w:pStyle w:val="Normal"/>
        <w:spacing w:before="120" w:after="120"/>
        <w:jc w:val="center"/>
        <w:rPr/>
      </w:pPr>
      <w:r>
        <w:rPr>
          <w:rFonts w:eastAsia="Times New Roman" w:cs="Times New Roman"/>
          <w:i/>
          <w:iCs/>
          <w:sz w:val="24"/>
          <w:szCs w:val="24"/>
        </w:rPr>
        <w:t>C</w:t>
      </w:r>
      <w:r>
        <w:rPr>
          <w:rFonts w:eastAsia="Times New Roman" w:cs="Times New Roman"/>
          <w:sz w:val="18"/>
          <w:szCs w:val="18"/>
          <w:vertAlign w:val="subscript"/>
        </w:rPr>
        <w:t>t</w:t>
      </w:r>
      <w:r>
        <w:rPr>
          <w:rFonts w:eastAsia="Times New Roman" w:cs="Times New Roman"/>
          <w:sz w:val="24"/>
          <w:szCs w:val="24"/>
        </w:rPr>
        <w:t xml:space="preserve"> = Q</w:t>
      </w:r>
      <w:r>
        <w:rPr>
          <w:rFonts w:eastAsia="Times New Roman" w:cs="Times New Roman"/>
          <w:sz w:val="18"/>
          <w:szCs w:val="18"/>
          <w:vertAlign w:val="subscript"/>
        </w:rPr>
        <w:t>t</w:t>
      </w:r>
      <w:r>
        <w:rPr>
          <w:rFonts w:eastAsia="Times New Roman" w:cs="Times New Roman"/>
          <w:sz w:val="24"/>
          <w:szCs w:val="24"/>
        </w:rPr>
        <w:t xml:space="preserve"> + (C</w:t>
      </w:r>
      <w:r>
        <w:rPr>
          <w:rFonts w:eastAsia="Times New Roman" w:cs="Times New Roman"/>
          <w:sz w:val="18"/>
          <w:szCs w:val="18"/>
          <w:vertAlign w:val="subscript"/>
        </w:rPr>
        <w:t>t-1</w:t>
      </w:r>
      <w:r>
        <w:rPr>
          <w:rFonts w:eastAsia="Times New Roman" w:cs="Times New Roman"/>
          <w:sz w:val="24"/>
          <w:szCs w:val="24"/>
        </w:rPr>
        <w:t xml:space="preserve"> × R)</w:t>
      </w:r>
    </w:p>
    <w:p>
      <w:pPr>
        <w:pStyle w:val="Normal"/>
        <w:spacing w:lineRule="auto" w:line="276" w:before="0" w:after="160"/>
        <w:rPr/>
      </w:pPr>
      <w:r>
        <w:rPr>
          <w:rFonts w:eastAsia="Times New Roman" w:cs="Times New Roman"/>
          <w:sz w:val="24"/>
          <w:szCs w:val="24"/>
        </w:rPr>
        <w:t>where Q</w:t>
      </w:r>
      <w:r>
        <w:rPr>
          <w:rFonts w:eastAsia="Times New Roman" w:cs="Times New Roman"/>
          <w:sz w:val="18"/>
          <w:szCs w:val="18"/>
          <w:vertAlign w:val="subscript"/>
        </w:rPr>
        <w:t>t</w:t>
      </w:r>
      <w:r>
        <w:rPr>
          <w:rFonts w:eastAsia="Times New Roman" w:cs="Times New Roman"/>
          <w:sz w:val="24"/>
          <w:szCs w:val="24"/>
        </w:rPr>
        <w:t xml:space="preserve"> is the instantaneous emission flux at time t (µg/m³), C</w:t>
      </w:r>
      <w:r>
        <w:rPr>
          <w:rFonts w:eastAsia="Times New Roman" w:cs="Times New Roman"/>
          <w:sz w:val="18"/>
          <w:szCs w:val="18"/>
          <w:vertAlign w:val="subscript"/>
        </w:rPr>
        <w:t>t-1</w:t>
      </w:r>
      <w:r>
        <w:rPr>
          <w:rFonts w:eastAsia="Times New Roman" w:cs="Times New Roman"/>
          <w:sz w:val="24"/>
          <w:szCs w:val="24"/>
        </w:rPr>
        <w:t xml:space="preserve"> is the concentration carried over from the previous time step, and R is a dimensionless retention coefficient. R is dynamically computed at each segment as R = 1 − (u</w:t>
      </w:r>
      <w:r>
        <w:rPr>
          <w:rFonts w:eastAsia="Times New Roman" w:cs="Times New Roman"/>
          <w:sz w:val="18"/>
          <w:szCs w:val="18"/>
          <w:vertAlign w:val="subscript"/>
        </w:rPr>
        <w:t>eff</w:t>
      </w:r>
      <w:r>
        <w:rPr>
          <w:rFonts w:eastAsia="Times New Roman" w:cs="Times New Roman"/>
          <w:sz w:val="24"/>
          <w:szCs w:val="24"/>
        </w:rPr>
        <w:t xml:space="preserve"> / H</w:t>
      </w:r>
      <w:r>
        <w:rPr>
          <w:rFonts w:eastAsia="Times New Roman" w:cs="Times New Roman"/>
          <w:sz w:val="18"/>
          <w:szCs w:val="18"/>
          <w:vertAlign w:val="subscript"/>
        </w:rPr>
        <w:t>mix</w:t>
      </w:r>
      <w:r>
        <w:rPr>
          <w:rFonts w:eastAsia="Times New Roman" w:cs="Times New Roman"/>
          <w:sz w:val="24"/>
          <w:szCs w:val="24"/>
        </w:rPr>
        <w:t>), bounded within [0, 0.85] to prevent unphysical accumulation. When wind is weak and PBLH is low, R approaches 0.85 (high retention); when both are large, R approaches 0 (efficient dispersion). Vehicle fleet composition and traffic intensity are modulated by road type (primary, tertiary, residential, service) and by a dimensionless hourly traffic factor (1.0 at 08:00, 0.6 at 14:00, 0.35 at 22:00). Tree carbon absorption is subtracted following Nowak et al. (2013), who estimate an average sequestration rate of approximately 21 kg CO₂ per tree per year, converted to a segment-level flux based on estimated tree density per road category.</w:t>
      </w:r>
    </w:p>
    <w:p>
      <w:pPr>
        <w:pStyle w:val="Heading2"/>
        <w:spacing w:before="200" w:after="120"/>
        <w:rPr/>
      </w:pPr>
      <w:r>
        <w:rPr>
          <w:rFonts w:eastAsia="Times New Roman" w:cs="Times New Roman" w:ascii="Times New Roman" w:hAnsi="Times New Roman"/>
          <w:b/>
          <w:bCs/>
          <w:i/>
          <w:iCs/>
          <w:sz w:val="24"/>
          <w:szCs w:val="24"/>
        </w:rPr>
        <w:t>3.8 GIS Visualisation (carte_humg.py)</w:t>
      </w:r>
    </w:p>
    <w:p>
      <w:pPr>
        <w:pStyle w:val="Normal"/>
        <w:spacing w:lineRule="auto" w:line="276" w:before="0" w:after="160"/>
        <w:rPr/>
      </w:pPr>
      <w:r>
        <w:rPr>
          <w:rFonts w:eastAsia="Times New Roman" w:cs="Times New Roman"/>
          <w:sz w:val="24"/>
          <w:szCs w:val="24"/>
        </w:rPr>
        <w:t>Simulation outputs are exported as three GeoPackage files — one per temporal scenario — containing CO₂ concentration, H/W ratio, effective mixing height, effective wind speed, and urban heat island temperature delta (ΔT UHI) for each road segment. These are rendered into a single autonomous HTML file using Folium over a CartoDB Positron base map. A global linear colour scale (green → yellow → red) is computed across all three scenarios to ensure visual comparability. A custom JavaScript layer-switcher, injected into the HTML, allows the user to toggle between the 08:00, 14:00, and 22:00 scenario layers via on-screen buttons. Clicking any road segment triggers a popup displaying street name, road type, H/W ratio, estimated CO₂ concentration, and ΔT UHI. The resulting file (carte_pollution_humg_3scenarios.html) is a self-contained deliverable requiring no web server.</w:t>
      </w:r>
    </w:p>
    <w:p>
      <w:pPr>
        <w:pStyle w:val="Heading1"/>
        <w:spacing w:before="280" w:after="160"/>
        <w:jc w:val="start"/>
        <w:rPr/>
      </w:pPr>
      <w:r>
        <w:rPr>
          <w:rFonts w:eastAsia="Times New Roman" w:cs="Times New Roman" w:ascii="Times New Roman" w:hAnsi="Times New Roman"/>
          <w:b/>
          <w:bCs/>
          <w:sz w:val="28"/>
          <w:szCs w:val="28"/>
        </w:rPr>
        <w:t>4. Experimental Setup</w:t>
      </w:r>
    </w:p>
    <w:p>
      <w:pPr>
        <w:pStyle w:val="Heading2"/>
        <w:spacing w:before="200" w:after="120"/>
        <w:rPr/>
      </w:pPr>
      <w:r>
        <w:rPr>
          <w:rFonts w:eastAsia="Times New Roman" w:cs="Times New Roman" w:ascii="Times New Roman" w:hAnsi="Times New Roman"/>
          <w:b/>
          <w:bCs/>
          <w:i/>
          <w:iCs/>
          <w:sz w:val="24"/>
          <w:szCs w:val="24"/>
        </w:rPr>
        <w:t>4.1 Study Area</w:t>
      </w:r>
    </w:p>
    <w:p>
      <w:pPr>
        <w:pStyle w:val="Normal"/>
        <w:spacing w:lineRule="auto" w:line="276" w:before="0" w:after="160"/>
        <w:rPr/>
      </w:pPr>
      <w:r>
        <w:rPr>
          <w:rFonts w:eastAsia="Times New Roman" w:cs="Times New Roman"/>
          <w:sz w:val="24"/>
          <w:szCs w:val="24"/>
        </w:rPr>
        <w:t>The study area is a 1.5 km radius circle centred on the HUMG campus at 21.0697°N, 105.7708°E, in the Cầu Giấy and Bắc Từ Liêm districts of Hanoi. This area encompasses a representative cross-section of Hanoi's suburban road typology: arterial primary roads (Đường Tây Thăng Long, Đường Hoàng Minh Thảo), tertiary residential streets, and service lanes within university and residential compounds. The OSMnx graph extraction at 'drive' network type returned 501 directed road segments for simulation.</w:t>
      </w:r>
    </w:p>
    <w:p>
      <w:pPr>
        <w:pStyle w:val="Heading2"/>
        <w:spacing w:before="200" w:after="120"/>
        <w:rPr/>
      </w:pPr>
      <w:r>
        <w:rPr>
          <w:rFonts w:eastAsia="Times New Roman" w:cs="Times New Roman" w:ascii="Times New Roman" w:hAnsi="Times New Roman"/>
          <w:b/>
          <w:bCs/>
          <w:i/>
          <w:iCs/>
          <w:sz w:val="24"/>
          <w:szCs w:val="24"/>
        </w:rPr>
        <w:t>4.2 Traffic Dataset</w:t>
      </w:r>
    </w:p>
    <w:p>
      <w:pPr>
        <w:pStyle w:val="Normal"/>
        <w:spacing w:lineRule="auto" w:line="276" w:before="0" w:after="160"/>
        <w:rPr/>
      </w:pPr>
      <w:r>
        <w:rPr>
          <w:rFonts w:eastAsia="Times New Roman" w:cs="Times New Roman"/>
          <w:sz w:val="24"/>
          <w:szCs w:val="24"/>
        </w:rPr>
        <w:t>In the absence of ground-truth loop-detector or probe-vehicle data for the HUMG area, traffic inputs are estimated from road-type-based fleet composition profiles calibrated against EEA (2023) emission factor categories. The vehicle detection module (YOLO) was operationally tested on a representative Hanoi traffic scene image (traffic_jam.jpg) to confirm correct classification of motorcycles, cars, trucks, and buses. The resulting detection statistics (45 cars, 2 trucks, 1 bus in the test image) were used as the basis for validating the pipeline prior to fleet-composition scaling.</w:t>
      </w:r>
    </w:p>
    <w:p>
      <w:pPr>
        <w:pStyle w:val="Heading2"/>
        <w:spacing w:before="200" w:after="120"/>
        <w:rPr/>
      </w:pPr>
      <w:r>
        <w:rPr>
          <w:rFonts w:eastAsia="Times New Roman" w:cs="Times New Roman" w:ascii="Times New Roman" w:hAnsi="Times New Roman"/>
          <w:b/>
          <w:bCs/>
          <w:i/>
          <w:iCs/>
          <w:sz w:val="24"/>
          <w:szCs w:val="24"/>
        </w:rPr>
        <w:t>4.3 Weather Dataset</w:t>
      </w:r>
    </w:p>
    <w:p>
      <w:pPr>
        <w:pStyle w:val="Normal"/>
        <w:spacing w:lineRule="auto" w:line="276" w:before="0" w:after="160"/>
        <w:rPr/>
      </w:pPr>
      <w:r>
        <w:rPr>
          <w:rFonts w:eastAsia="Times New Roman" w:cs="Times New Roman"/>
          <w:sz w:val="24"/>
          <w:szCs w:val="24"/>
        </w:rPr>
        <w:t>ERA5 hourly data were downloaded for the bounding box [21.0°N–21.15°N, 105.70°E–105.85°E] covering April 2026 via the Copernicus Climate Data Store API. The three representative meteorological states extracted correspond to: 08:00 local time (01:00 UTC; PBLH = 313 m, wind speed ≈ 1.8 m/s), 14:00 local time (07:00 UTC; PBLH = 1,037 m, wind speed ≈ 3.2 m/s), and 22:00 local time (15:00 UTC; PBLH = 170 m, wind speed ≈ 0.9 m/s). These values represent, respectively, the morning traffic peak with residual nocturnal boundary-layer conditions, the afternoon maximum mixing with strong solar-driven convection, and the nocturnal inversion with boundary-layer collapse.</w:t>
      </w:r>
    </w:p>
    <w:p>
      <w:pPr>
        <w:pStyle w:val="Heading2"/>
        <w:spacing w:before="200" w:after="120"/>
        <w:rPr/>
      </w:pPr>
      <w:r>
        <w:rPr>
          <w:rFonts w:eastAsia="Times New Roman" w:cs="Times New Roman" w:ascii="Times New Roman" w:hAnsi="Times New Roman"/>
          <w:b/>
          <w:bCs/>
          <w:i/>
          <w:iCs/>
          <w:sz w:val="24"/>
          <w:szCs w:val="24"/>
        </w:rPr>
        <w:t>4.4 Simulation Parameters</w:t>
      </w:r>
    </w:p>
    <w:p>
      <w:pPr>
        <w:pStyle w:val="Normal"/>
        <w:spacing w:lineRule="auto" w:line="276" w:before="0" w:after="160"/>
        <w:rPr/>
      </w:pPr>
      <w:r>
        <w:rPr>
          <w:rFonts w:eastAsia="Times New Roman" w:cs="Times New Roman"/>
          <w:sz w:val="24"/>
          <w:szCs w:val="24"/>
        </w:rPr>
        <w:t>The key model parameters are summarised in Table 1.</w:t>
      </w:r>
    </w:p>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0" w:after="60"/>
              <w:rPr/>
            </w:pPr>
            <w:r>
              <w:rPr>
                <w:rFonts w:eastAsia="Times New Roman" w:cs="Times New Roman"/>
                <w:b/>
                <w:bCs/>
                <w:sz w:val="24"/>
                <w:szCs w:val="24"/>
              </w:rPr>
              <w:t>Parameter</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0" w:after="60"/>
              <w:rPr/>
            </w:pPr>
            <w:r>
              <w:rPr>
                <w:rFonts w:eastAsia="Times New Roman" w:cs="Times New Roman"/>
                <w:b/>
                <w:bCs/>
                <w:sz w:val="24"/>
                <w:szCs w:val="24"/>
              </w:rPr>
              <w:t>Value / Source</w:t>
            </w:r>
          </w:p>
        </w:tc>
        <w:tc>
          <w:tcPr>
            <w:tcW w:w="3120"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0" w:after="60"/>
              <w:rPr/>
            </w:pPr>
            <w:r>
              <w:rPr>
                <w:rFonts w:eastAsia="Times New Roman" w:cs="Times New Roman"/>
                <w:b/>
                <w:bCs/>
                <w:sz w:val="24"/>
                <w:szCs w:val="24"/>
              </w:rPr>
              <w:t>Reference</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CO₂ emission factors</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72–500 g/km by vehicle class</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EEA (2023)</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Street width (primary)</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12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OSM road type</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Street width (tertiary)</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8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OSM road type</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Street width (residential)</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6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OSM road type</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Street width (service)</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4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OSM road type</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Default building height</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12 m (4 levels × 3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OSM building:levels</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Building buffer radius</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25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This study</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Retention coeff. R max</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0.85</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Peng et al. (2023)</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Tree absorption</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21 kg CO₂/tree/yr</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Nowak et al. (2013)</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PBLH – 08:00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313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ERA5, April 2026</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PBLH – 14:00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1,037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ERA5, April 2026</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PBLH – 22:00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170 m</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ERA5, April 2026</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Traffic factor – 08:00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1.0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This study</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Traffic factor – 14:00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0.6</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This study</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Traffic factor – 22:00</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0.35</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Times New Roman" w:cs="Times New Roman"/>
                <w:sz w:val="24"/>
                <w:szCs w:val="24"/>
              </w:rPr>
              <w:t>This study</w:t>
            </w:r>
          </w:p>
        </w:tc>
      </w:tr>
    </w:tbl>
    <w:p>
      <w:pPr>
        <w:pStyle w:val="Normal"/>
        <w:spacing w:before="80" w:after="200"/>
        <w:jc w:val="center"/>
        <w:rPr/>
      </w:pPr>
      <w:r>
        <w:rPr>
          <w:rFonts w:eastAsia="Times New Roman" w:cs="Times New Roman"/>
          <w:i/>
          <w:iCs/>
          <w:sz w:val="24"/>
          <w:szCs w:val="24"/>
        </w:rPr>
        <w:t>Table 1. Key simulation parameters.</w:t>
      </w:r>
    </w:p>
    <w:p>
      <w:pPr>
        <w:pStyle w:val="Heading2"/>
        <w:spacing w:before="200" w:after="120"/>
        <w:rPr/>
      </w:pPr>
      <w:r>
        <w:rPr>
          <w:rFonts w:eastAsia="Times New Roman" w:cs="Times New Roman" w:ascii="Times New Roman" w:hAnsi="Times New Roman"/>
          <w:b/>
          <w:bCs/>
          <w:i/>
          <w:iCs/>
          <w:sz w:val="24"/>
          <w:szCs w:val="24"/>
        </w:rPr>
        <w:t>4.5 Evaluation Scenarios</w:t>
      </w:r>
    </w:p>
    <w:p>
      <w:pPr>
        <w:pStyle w:val="Normal"/>
        <w:spacing w:lineRule="auto" w:line="276" w:before="0" w:after="160"/>
        <w:rPr/>
      </w:pPr>
      <w:r>
        <w:rPr>
          <w:rFonts w:eastAsia="Times New Roman" w:cs="Times New Roman"/>
          <w:sz w:val="24"/>
          <w:szCs w:val="24"/>
        </w:rPr>
        <w:t>Three temporal scenarios were simulated to span the diurnal cycle: morning rush hour (08:00), afternoon midday (14:00), and late evening (22:00). These scenarios were selected to test the core hypothesis that nocturnal PBLH collapse — not traffic intensity — is the primary driver of elevated street-level CO₂ concentration in the study area. Qualitative validation was provided by Prof. Nguyen Gia Trong, whose expertise in geodesic data analysis and GIS applied to the Hanoi urban environment allows assessment of whether the modelled spatial concentration patterns and diurnal dynamics are physically plausible.</w:t>
      </w:r>
    </w:p>
    <w:p>
      <w:pPr>
        <w:pStyle w:val="Heading1"/>
        <w:spacing w:before="280" w:after="160"/>
        <w:jc w:val="start"/>
        <w:rPr/>
      </w:pPr>
      <w:r>
        <w:rPr>
          <w:rFonts w:eastAsia="Times New Roman" w:cs="Times New Roman" w:ascii="Times New Roman" w:hAnsi="Times New Roman"/>
          <w:b/>
          <w:bCs/>
          <w:sz w:val="28"/>
          <w:szCs w:val="28"/>
        </w:rPr>
        <w:t>5. Results</w:t>
      </w:r>
    </w:p>
    <w:p>
      <w:pPr>
        <w:pStyle w:val="Heading2"/>
        <w:spacing w:before="200" w:after="120"/>
        <w:rPr/>
      </w:pPr>
      <w:r>
        <w:rPr>
          <w:rFonts w:eastAsia="Times New Roman" w:cs="Times New Roman" w:ascii="Times New Roman" w:hAnsi="Times New Roman"/>
          <w:b/>
          <w:bCs/>
          <w:i/>
          <w:iCs/>
          <w:sz w:val="24"/>
          <w:szCs w:val="24"/>
        </w:rPr>
        <w:t>5.1 Vehicle Detection</w:t>
      </w:r>
    </w:p>
    <w:p>
      <w:pPr>
        <w:pStyle w:val="Normal"/>
        <w:spacing w:lineRule="auto" w:line="276" w:before="0" w:after="160"/>
        <w:rPr/>
      </w:pPr>
      <w:r>
        <w:rPr>
          <w:rFonts w:eastAsia="Times New Roman" w:cs="Times New Roman"/>
          <w:sz w:val="24"/>
          <w:szCs w:val="24"/>
        </w:rPr>
        <w:t>YOLOv8n applied to the test traffic image (1920 × 1080 px) detected 45 cars, 2 trucks, and 1 bus in under 200 ms on a standard Linux workstation, demonstrating real-time capability. Confidence scores for car detections ranged from 0.27 to 0.79, with the majority above 0.50. Motorcycle detections were limited in the test image but are the numerically dominant category in the fleet composition model applied to the road-network simulation, reflecting the actual modal split of Hanoi traffic.</w:t>
      </w:r>
    </w:p>
    <w:p>
      <w:pPr>
        <w:pStyle w:val="Heading2"/>
        <w:spacing w:before="200" w:after="120"/>
        <w:rPr/>
      </w:pPr>
      <w:r>
        <w:rPr>
          <w:rFonts w:eastAsia="Times New Roman" w:cs="Times New Roman" w:ascii="Times New Roman" w:hAnsi="Times New Roman"/>
          <w:b/>
          <w:bCs/>
          <w:i/>
          <w:iCs/>
          <w:sz w:val="24"/>
          <w:szCs w:val="24"/>
        </w:rPr>
        <w:t>5.2 Estimated CO₂ Emission Rates</w:t>
      </w:r>
    </w:p>
    <w:p>
      <w:pPr>
        <w:pStyle w:val="Normal"/>
        <w:spacing w:lineRule="auto" w:line="276" w:before="0" w:after="160"/>
        <w:rPr/>
      </w:pPr>
      <w:r>
        <w:rPr>
          <w:rFonts w:eastAsia="Times New Roman" w:cs="Times New Roman"/>
          <w:sz w:val="24"/>
          <w:szCs w:val="24"/>
        </w:rPr>
        <w:t>The digital twin pipeline applied to the test scene yielded a total estimated emission rate of 10,246.65 g/km from the detected vehicle population. Per-vehicle estimates ranged from approximately 72 g/km (motorcycles) to 300–500 g/km (buses and heavy goods vehicles), consistent with EEA (2023) benchmark values for the respective categories.</w:t>
      </w:r>
    </w:p>
    <w:p>
      <w:pPr>
        <w:pStyle w:val="Heading2"/>
        <w:spacing w:before="200" w:after="120"/>
        <w:rPr/>
      </w:pPr>
      <w:r>
        <w:rPr>
          <w:rFonts w:eastAsia="Times New Roman" w:cs="Times New Roman" w:ascii="Times New Roman" w:hAnsi="Times New Roman"/>
          <w:b/>
          <w:bCs/>
          <w:i/>
          <w:iCs/>
          <w:sz w:val="24"/>
          <w:szCs w:val="24"/>
        </w:rPr>
        <w:t>5.3 Atmospheric Effects and Diurnal Pattern</w:t>
      </w:r>
    </w:p>
    <w:p>
      <w:pPr>
        <w:pStyle w:val="Normal"/>
        <w:spacing w:lineRule="auto" w:line="276" w:before="0" w:after="160"/>
        <w:rPr/>
      </w:pPr>
      <w:r>
        <w:rPr>
          <w:rFonts w:eastAsia="Times New Roman" w:cs="Times New Roman"/>
          <w:sz w:val="24"/>
          <w:szCs w:val="24"/>
        </w:rPr>
        <w:t>The Box Model 0D validation (conducted prior to spatial extension) demonstrated a +30% increase in pollutant concentration between 14:00 and 22:00 despite a 60% reduction in traffic, attributable exclusively to the ERA5-forced PBLH dropping from 1,037 m to 170 m. This result confirms algorithmically the thermal inversion hypothesis for Southeast Asian urban environments and establishes the scientific rationale for the three-scenario spatial simulation.</w:t>
      </w:r>
    </w:p>
    <w:p>
      <w:pPr>
        <w:pStyle w:val="Heading2"/>
        <w:spacing w:before="200" w:after="120"/>
        <w:rPr/>
      </w:pPr>
      <w:r>
        <w:rPr>
          <w:rFonts w:eastAsia="Times New Roman" w:cs="Times New Roman" w:ascii="Times New Roman" w:hAnsi="Times New Roman"/>
          <w:b/>
          <w:bCs/>
          <w:i/>
          <w:iCs/>
          <w:sz w:val="24"/>
          <w:szCs w:val="24"/>
        </w:rPr>
        <w:t>5.4 Spatial Distribution</w:t>
      </w:r>
    </w:p>
    <w:p>
      <w:pPr>
        <w:pStyle w:val="Normal"/>
        <w:spacing w:lineRule="auto" w:line="276" w:before="0" w:after="160"/>
        <w:rPr/>
      </w:pPr>
      <w:r>
        <w:rPr>
          <w:rFonts w:eastAsia="Times New Roman" w:cs="Times New Roman"/>
          <w:sz w:val="24"/>
          <w:szCs w:val="24"/>
        </w:rPr>
        <w:t>Spatialisation across 501 road segments produced the following scenario-level mean concentrations:</w:t>
      </w:r>
    </w:p>
    <w:p>
      <w:pPr>
        <w:pStyle w:val="Normal"/>
        <w:spacing w:before="80" w:after="80"/>
        <w:ind w:start="720"/>
        <w:rPr/>
      </w:pPr>
      <w:r>
        <w:rPr>
          <w:rFonts w:eastAsia="Times New Roman" w:cs="Times New Roman"/>
          <w:b/>
          <w:bCs/>
          <w:sz w:val="24"/>
          <w:szCs w:val="24"/>
        </w:rPr>
        <w:t xml:space="preserve">08:00 (PBLH = 313 m): </w:t>
      </w:r>
      <w:r>
        <w:rPr>
          <w:rFonts w:eastAsia="Times New Roman" w:cs="Times New Roman"/>
          <w:sz w:val="24"/>
          <w:szCs w:val="24"/>
        </w:rPr>
        <w:t>Mean CO₂ concentration = 29.95 µg/m³. High traffic intensity combined with a still-depressed morning boundary layer produces the highest mean concentrations of the three scenarios. Arterial primary roads dominate the hotspot pattern.</w:t>
      </w:r>
    </w:p>
    <w:p>
      <w:pPr>
        <w:pStyle w:val="Normal"/>
        <w:spacing w:before="0" w:after="80"/>
        <w:ind w:start="720"/>
        <w:rPr/>
      </w:pPr>
      <w:r>
        <w:rPr>
          <w:rFonts w:eastAsia="Times New Roman" w:cs="Times New Roman"/>
          <w:b/>
          <w:bCs/>
          <w:sz w:val="24"/>
          <w:szCs w:val="24"/>
        </w:rPr>
        <w:t xml:space="preserve">14:00 (PBLH = 1,037 m): </w:t>
      </w:r>
      <w:r>
        <w:rPr>
          <w:rFonts w:eastAsia="Times New Roman" w:cs="Times New Roman"/>
          <w:sz w:val="24"/>
          <w:szCs w:val="24"/>
        </w:rPr>
        <w:t>Mean CO₂ concentration = 14.87 µg/m³. The fully developed convective boundary layer enables maximum atmospheric dilution, reducing concentrations to the lowest values of the day despite sustained traffic activity.</w:t>
      </w:r>
    </w:p>
    <w:p>
      <w:pPr>
        <w:pStyle w:val="Normal"/>
        <w:spacing w:before="0" w:after="160"/>
        <w:ind w:start="720"/>
        <w:rPr/>
      </w:pPr>
      <w:r>
        <w:rPr>
          <w:rFonts w:eastAsia="Times New Roman" w:cs="Times New Roman"/>
          <w:b/>
          <w:bCs/>
          <w:sz w:val="24"/>
          <w:szCs w:val="24"/>
        </w:rPr>
        <w:t xml:space="preserve">22:00 (PBLH = 170 m): </w:t>
      </w:r>
      <w:r>
        <w:rPr>
          <w:rFonts w:eastAsia="Times New Roman" w:cs="Times New Roman"/>
          <w:sz w:val="24"/>
          <w:szCs w:val="24"/>
        </w:rPr>
        <w:t>Mean CO₂ concentration = 19.16 µg/m³. Traffic has fallen to 35% of the morning peak, yet concentrations rise 29% above the 14:00 baseline due to the nocturnal boundary-layer collapse and residual emission memory carried over from earlier scenarios through the temporal accumulation term.</w:t>
      </w:r>
    </w:p>
    <w:p>
      <w:pPr>
        <w:pStyle w:val="Heading2"/>
        <w:spacing w:before="200" w:after="120"/>
        <w:rPr/>
      </w:pPr>
      <w:r>
        <w:rPr>
          <w:rFonts w:eastAsia="Times New Roman" w:cs="Times New Roman" w:ascii="Times New Roman" w:hAnsi="Times New Roman"/>
          <w:b/>
          <w:bCs/>
          <w:i/>
          <w:iCs/>
          <w:sz w:val="24"/>
          <w:szCs w:val="24"/>
        </w:rPr>
        <w:t>5.5 Pollution Hotspots</w:t>
      </w:r>
    </w:p>
    <w:p>
      <w:pPr>
        <w:pStyle w:val="Normal"/>
        <w:spacing w:lineRule="auto" w:line="276" w:before="0" w:after="160"/>
        <w:rPr/>
      </w:pPr>
      <w:r>
        <w:rPr>
          <w:rFonts w:eastAsia="Times New Roman" w:cs="Times New Roman"/>
          <w:sz w:val="24"/>
          <w:szCs w:val="24"/>
        </w:rPr>
        <w:t>The interactive GIS map reveals pronounced concentration gradients between road types. Primary arterial corridors (H/W ratios typically 0.3–0.6, high vehicle fleet density) exhibit concentrations 40–60% above the district mean in the morning scenario. Deep-canyon residential lanes (H/W &gt; 1.5) in the interior of the study area, despite lower absolute traffic volumes, show disproportionately elevated concentrations at 22:00 due to their low effective wind speed and high retention coefficients. The campus perimeter of HUMG, bordered by a mix of primary and service roads, shows intermediate concentrations consistent with a mixed-use boundary.</w:t>
      </w:r>
    </w:p>
    <w:p>
      <w:pPr>
        <w:pStyle w:val="Heading2"/>
        <w:spacing w:before="200" w:after="120"/>
        <w:rPr/>
      </w:pPr>
      <w:r>
        <w:rPr>
          <w:rFonts w:eastAsia="Times New Roman" w:cs="Times New Roman" w:ascii="Times New Roman" w:hAnsi="Times New Roman"/>
          <w:b/>
          <w:bCs/>
          <w:i/>
          <w:iCs/>
          <w:sz w:val="24"/>
          <w:szCs w:val="24"/>
        </w:rPr>
        <w:t>5.6 Interactive GIS Deliverable</w:t>
      </w:r>
    </w:p>
    <w:p>
      <w:pPr>
        <w:pStyle w:val="Normal"/>
        <w:spacing w:lineRule="auto" w:line="276" w:before="0" w:after="160"/>
        <w:rPr/>
      </w:pPr>
      <w:r>
        <w:rPr>
          <w:rFonts w:eastAsia="Times New Roman" w:cs="Times New Roman"/>
          <w:sz w:val="24"/>
          <w:szCs w:val="24"/>
        </w:rPr>
        <w:t>The self-contained HTML output (carte_pollution_humg_3scenarios.html) renders all 501 road segments colour-coded on a unified green–yellow–red scale anchored to the global concentration range across all three scenarios. A JavaScript layer-switcher enables instant toggling between temporal scenarios. Popup inspection of individual segments provides H/W ratio, effective mixing height, effective wind speed, CO₂ concentration, and ΔT UHI. The map opens directly in any modern web browser without server infrastructure, making it immediately shareable for academic and policy audiences.</w:t>
      </w:r>
    </w:p>
    <w:p>
      <w:pPr>
        <w:pStyle w:val="Heading1"/>
        <w:spacing w:before="280" w:after="160"/>
        <w:jc w:val="start"/>
        <w:rPr/>
      </w:pPr>
      <w:r>
        <w:rPr>
          <w:rFonts w:eastAsia="Times New Roman" w:cs="Times New Roman" w:ascii="Times New Roman" w:hAnsi="Times New Roman"/>
          <w:b/>
          <w:bCs/>
          <w:sz w:val="28"/>
          <w:szCs w:val="28"/>
        </w:rPr>
        <w:t>6. Discussion and Limitations</w:t>
      </w:r>
    </w:p>
    <w:p>
      <w:pPr>
        <w:pStyle w:val="Heading2"/>
        <w:spacing w:before="200" w:after="120"/>
        <w:rPr/>
      </w:pPr>
      <w:r>
        <w:rPr>
          <w:rFonts w:eastAsia="Times New Roman" w:cs="Times New Roman" w:ascii="Times New Roman" w:hAnsi="Times New Roman"/>
          <w:b/>
          <w:bCs/>
          <w:i/>
          <w:iCs/>
          <w:sz w:val="24"/>
          <w:szCs w:val="24"/>
        </w:rPr>
        <w:t>6.1 Scientific Interpretation</w:t>
      </w:r>
    </w:p>
    <w:p>
      <w:pPr>
        <w:pStyle w:val="Normal"/>
        <w:spacing w:lineRule="auto" w:line="276" w:before="0" w:after="160"/>
        <w:rPr/>
      </w:pPr>
      <w:r>
        <w:rPr>
          <w:rFonts w:eastAsia="Times New Roman" w:cs="Times New Roman"/>
          <w:sz w:val="24"/>
          <w:szCs w:val="24"/>
        </w:rPr>
        <w:t>The core scientific finding of this work — that nocturnal CO₂ accumulation in Hanoi is driven by boundary-layer dynamics rather than traffic intensity — is consistent with the atmospheric physics literature on tropical and subtropical urban environments (Deng et al., 2023; Peng et al., 2023) and has direct public health implications. Peak exposure to residual vehicle CO₂ and associated co-pollutants (CO, NOx, particulate matter, which co-vary with CO₂ from combustion sources) occurs not at the traffic peak but during the sleeping hours of residents, a period when ventilation of buildings is typically maximised and personal protective measures are least likely to be adopted.</w:t>
      </w:r>
    </w:p>
    <w:p>
      <w:pPr>
        <w:pStyle w:val="Heading2"/>
        <w:spacing w:before="200" w:after="120"/>
        <w:rPr/>
      </w:pPr>
      <w:r>
        <w:rPr>
          <w:rFonts w:eastAsia="Times New Roman" w:cs="Times New Roman" w:ascii="Times New Roman" w:hAnsi="Times New Roman"/>
          <w:b/>
          <w:bCs/>
          <w:i/>
          <w:iCs/>
          <w:sz w:val="24"/>
          <w:szCs w:val="24"/>
        </w:rPr>
        <w:t>6.2 Methodological Contributions</w:t>
      </w:r>
    </w:p>
    <w:p>
      <w:pPr>
        <w:pStyle w:val="Normal"/>
        <w:spacing w:lineRule="auto" w:line="276" w:before="0" w:after="160"/>
        <w:rPr/>
      </w:pPr>
      <w:r>
        <w:rPr>
          <w:rFonts w:eastAsia="Times New Roman" w:cs="Times New Roman"/>
          <w:sz w:val="24"/>
          <w:szCs w:val="24"/>
        </w:rPr>
        <w:t>The framework demonstrates that meaningful urban air-quality intelligence can be extracted from entirely open data sources — OpenStreetMap, ERA5 reanalysis, and freely available emission factor tables — without deploying any physical sensor infrastructure. This is particularly relevant for cities across Southeast Asia, Sub-Saharan Africa, and South Asia where the density-to-infrastructure ratio makes conventional monitoring networks economically non-viable. The modular architecture, hosted on a public GitHub repository (https://github.com/lemarrek/Mobility-co2-Simulation), ensures reproducibility and enables straightforward adaptation to other cities.</w:t>
      </w:r>
    </w:p>
    <w:p>
      <w:pPr>
        <w:pStyle w:val="Heading2"/>
        <w:spacing w:before="200" w:after="120"/>
        <w:rPr/>
      </w:pPr>
      <w:r>
        <w:rPr>
          <w:rFonts w:eastAsia="Times New Roman" w:cs="Times New Roman" w:ascii="Times New Roman" w:hAnsi="Times New Roman"/>
          <w:b/>
          <w:bCs/>
          <w:i/>
          <w:iCs/>
          <w:sz w:val="24"/>
          <w:szCs w:val="24"/>
        </w:rPr>
        <w:t>6.3 Limitations</w:t>
      </w:r>
    </w:p>
    <w:p>
      <w:pPr>
        <w:pStyle w:val="Normal"/>
        <w:spacing w:lineRule="auto" w:line="276" w:before="0" w:after="160"/>
        <w:rPr/>
      </w:pPr>
      <w:r>
        <w:rPr>
          <w:rFonts w:eastAsia="Times New Roman" w:cs="Times New Roman"/>
          <w:sz w:val="24"/>
          <w:szCs w:val="24"/>
        </w:rPr>
        <w:t>Several structural limitations must be acknowledged. First, the absence of in-situ measurement data (physical sensors or mobile monitoring platforms) means that the simulation outputs cannot be quantitatively validated against ground truth. The framework is validated qualitatively against expert domain knowledge, which confirms the physical plausibility of the results but does not constrain absolute concentration values. This limitation was identified at the outset of the study as an unavoidable consequence of the budget and time constraints of the internship context and is documented transparently as a scope boundary rather than a methodological failure.</w:t>
      </w:r>
    </w:p>
    <w:p>
      <w:pPr>
        <w:pStyle w:val="Normal"/>
        <w:spacing w:lineRule="auto" w:line="276" w:before="0" w:after="160"/>
        <w:rPr/>
      </w:pPr>
      <w:r>
        <w:rPr>
          <w:rFonts w:eastAsia="Times New Roman" w:cs="Times New Roman"/>
          <w:sz w:val="24"/>
          <w:szCs w:val="24"/>
        </w:rPr>
        <w:t>Second, the vehicle detection module was tested on a single representative image rather than a continuous video feed over the full diurnal cycle, meaning that the traffic factor profiles applied in the road-network simulation (1.0 / 0.6 / 0.35 at 08:00 / 14:00 / 22:00) are estimated from literature and expert knowledge rather than measured for the HUMG area specifically.</w:t>
      </w:r>
    </w:p>
    <w:p>
      <w:pPr>
        <w:pStyle w:val="Normal"/>
        <w:spacing w:lineRule="auto" w:line="276" w:before="0" w:after="160"/>
        <w:rPr/>
      </w:pPr>
      <w:r>
        <w:rPr>
          <w:rFonts w:eastAsia="Times New Roman" w:cs="Times New Roman"/>
          <w:sz w:val="24"/>
          <w:szCs w:val="24"/>
        </w:rPr>
        <w:t>Third, the CO₂ predictor was trained on Canadian vehicle data. While the underlying physics of the engine-emissions relationship is market-independent, the Vietnamese fleet — dominated by small-displacement two-stroke and four-stroke motorcycles — is not well represented in the training data. Future work should retrain the model on Vietnamese vehicle technical specifications.</w:t>
      </w:r>
    </w:p>
    <w:p>
      <w:pPr>
        <w:pStyle w:val="Normal"/>
        <w:spacing w:lineRule="auto" w:line="276" w:before="0" w:after="160"/>
        <w:rPr/>
      </w:pPr>
      <w:r>
        <w:rPr>
          <w:rFonts w:eastAsia="Times New Roman" w:cs="Times New Roman"/>
          <w:sz w:val="24"/>
          <w:szCs w:val="24"/>
        </w:rPr>
        <w:t>Fourth, the tree absorption sub-model (Nowak et al., 2013) applies a single North American average sequestration rate per tree. Tropical tree species in Hanoi's urban canopy may exhibit different sequestration rates and seasonal dynamics, introducing uncertainty in the net concentration estimate.</w:t>
      </w:r>
    </w:p>
    <w:p>
      <w:pPr>
        <w:pStyle w:val="Normal"/>
        <w:spacing w:lineRule="auto" w:line="276" w:before="0" w:after="160"/>
        <w:rPr/>
      </w:pPr>
      <w:r>
        <w:rPr>
          <w:rFonts w:eastAsia="Times New Roman" w:cs="Times New Roman"/>
          <w:sz w:val="24"/>
          <w:szCs w:val="24"/>
        </w:rPr>
        <w:t>Fifth, the ERA5 PBLH data used have a spatial resolution of approximately 31 km, which cannot resolve the intra-urban PBLH heterogeneity driven by the urban heat island effect. The urban heat island temperature correction (ΔT UHI) applied in the model provides a first-order adjustment but does not substitute for urban-scale atmospheric modelling.</w:t>
      </w:r>
    </w:p>
    <w:p>
      <w:pPr>
        <w:pStyle w:val="Heading1"/>
        <w:spacing w:before="280" w:after="160"/>
        <w:jc w:val="start"/>
        <w:rPr/>
      </w:pPr>
      <w:r>
        <w:rPr>
          <w:rFonts w:eastAsia="Times New Roman" w:cs="Times New Roman" w:ascii="Times New Roman" w:hAnsi="Times New Roman"/>
          <w:b/>
          <w:bCs/>
          <w:sz w:val="28"/>
          <w:szCs w:val="28"/>
        </w:rPr>
        <w:t>7. Conclusion</w:t>
      </w:r>
    </w:p>
    <w:p>
      <w:pPr>
        <w:pStyle w:val="Normal"/>
        <w:spacing w:lineRule="auto" w:line="276" w:before="0" w:after="160"/>
        <w:rPr/>
      </w:pPr>
      <w:r>
        <w:rPr>
          <w:rFonts w:eastAsia="Times New Roman" w:cs="Times New Roman"/>
          <w:sz w:val="24"/>
          <w:szCs w:val="24"/>
        </w:rPr>
        <w:t>This paper has presented a GIS-based framework for urban traffic CO₂ simulation that integrates vehicle detection via YOLOv8, machine-learning emission prediction, ERA5 atmospheric forcing, street-canyon dispersion modelling, and interactive GIS visualisation into a unified Python pipeline. Applied to a 1.5 km radius study area around the HUMG campus in Hanoi across three diurnal scenarios, the framework demonstrates that nocturnal CO₂ concentrations (19.16 µg/m³ at 22:00) exceed afternoon values (14.87 µg/m³ at 14:00) despite a 65% traffic reduction, confirming the dominant role of planetary boundary-layer collapse in determining peak urban air pollution exposure.</w:t>
      </w:r>
    </w:p>
    <w:p>
      <w:pPr>
        <w:pStyle w:val="Normal"/>
        <w:spacing w:lineRule="auto" w:line="276" w:before="0" w:after="160"/>
        <w:rPr/>
      </w:pPr>
      <w:r>
        <w:rPr>
          <w:rFonts w:eastAsia="Times New Roman" w:cs="Times New Roman"/>
          <w:sz w:val="24"/>
          <w:szCs w:val="24"/>
        </w:rPr>
        <w:t>The framework operates entirely on open data and open-source software, produces a self-contained interactive GIS deliverable, and is architecturally designed for adaptation to other data-sparse urban environments. By demonstrating that a functional digital twin of urban air quality can be constructed without physical sensor infrastructure, this work offers a scalable and reproducible methodology for evidence-based environmental management in the rapidly urbanising cities of Southeast Asia.</w:t>
      </w:r>
    </w:p>
    <w:p>
      <w:pPr>
        <w:pStyle w:val="Normal"/>
        <w:spacing w:lineRule="auto" w:line="276" w:before="0" w:after="160"/>
        <w:rPr/>
      </w:pPr>
      <w:r>
        <w:rPr>
          <w:rFonts w:eastAsia="Times New Roman" w:cs="Times New Roman"/>
          <w:sz w:val="24"/>
          <w:szCs w:val="24"/>
        </w:rPr>
        <w:t>Future work will focus on: (i) quantitative validation through targeted mobile monitoring campaigns; (ii) integration of satellite-derived land surface temperature (Landsat LST) to improve UHI parameterisation; (iii) extension to a full 24-hour diurnal simulation with hourly ERA5 forcing; and (iv) adaptation of the vehicle emission predictor to Vietnamese fleet characteristics.</w:t>
      </w:r>
    </w:p>
    <w:p>
      <w:pPr>
        <w:pStyle w:val="Normal"/>
        <w:spacing w:before="0" w:after="80"/>
        <w:rPr/>
      </w:pPr>
      <w:r>
        <w:rPr/>
      </w:r>
    </w:p>
    <w:p>
      <w:pPr>
        <w:pStyle w:val="Heading1"/>
        <w:spacing w:before="280" w:after="160"/>
        <w:jc w:val="start"/>
        <w:rPr/>
      </w:pPr>
      <w:r>
        <w:rPr>
          <w:rFonts w:eastAsia="Times New Roman" w:cs="Times New Roman" w:ascii="Times New Roman" w:hAnsi="Times New Roman"/>
          <w:b/>
          <w:bCs/>
          <w:sz w:val="28"/>
          <w:szCs w:val="28"/>
        </w:rPr>
        <w:t>References</w:t>
      </w:r>
    </w:p>
    <w:p>
      <w:pPr>
        <w:pStyle w:val="Normal"/>
        <w:spacing w:before="0" w:after="120"/>
        <w:ind w:hanging="720" w:start="720"/>
        <w:rPr/>
      </w:pPr>
      <w:r>
        <w:rPr>
          <w:rFonts w:eastAsia="Times New Roman" w:cs="Times New Roman"/>
          <w:sz w:val="24"/>
          <w:szCs w:val="24"/>
        </w:rPr>
        <w:t xml:space="preserve">Boeing, G. (2017). OSMnx: New methods for acquiring, constructing, analyzing, and visualizing complex street networks. </w:t>
      </w:r>
      <w:r>
        <w:rPr>
          <w:rFonts w:eastAsia="Times New Roman" w:cs="Times New Roman"/>
          <w:i/>
          <w:iCs/>
          <w:sz w:val="24"/>
          <w:szCs w:val="24"/>
        </w:rPr>
        <w:t>Computers, Environment and Urban Systems</w:t>
      </w:r>
      <w:r>
        <w:rPr>
          <w:rFonts w:eastAsia="Times New Roman" w:cs="Times New Roman"/>
          <w:sz w:val="24"/>
          <w:szCs w:val="24"/>
        </w:rPr>
        <w:t>, 65, 126–139.</w:t>
      </w:r>
    </w:p>
    <w:p>
      <w:pPr>
        <w:pStyle w:val="Normal"/>
        <w:spacing w:before="0" w:after="120"/>
        <w:ind w:hanging="720" w:start="720"/>
        <w:rPr/>
      </w:pPr>
      <w:r>
        <w:rPr>
          <w:rFonts w:eastAsia="Times New Roman" w:cs="Times New Roman"/>
          <w:sz w:val="24"/>
          <w:szCs w:val="24"/>
        </w:rPr>
        <w:t xml:space="preserve">Deng, Y., Li, H., Zhang, Y., et al. (2023). The effects of planetary boundary layer features on air pollution based on ERA5 data. </w:t>
      </w:r>
      <w:r>
        <w:rPr>
          <w:rFonts w:eastAsia="Times New Roman" w:cs="Times New Roman"/>
          <w:i/>
          <w:iCs/>
          <w:sz w:val="24"/>
          <w:szCs w:val="24"/>
        </w:rPr>
        <w:t>Atmosphere</w:t>
      </w:r>
      <w:r>
        <w:rPr>
          <w:rFonts w:eastAsia="Times New Roman" w:cs="Times New Roman"/>
          <w:sz w:val="24"/>
          <w:szCs w:val="24"/>
        </w:rPr>
        <w:t>, 14(3), 549.</w:t>
      </w:r>
    </w:p>
    <w:p>
      <w:pPr>
        <w:pStyle w:val="Normal"/>
        <w:spacing w:before="0" w:after="120"/>
        <w:ind w:hanging="720" w:start="720"/>
        <w:rPr/>
      </w:pPr>
      <w:r>
        <w:rPr>
          <w:rFonts w:eastAsia="Times New Roman" w:cs="Times New Roman"/>
          <w:sz w:val="24"/>
          <w:szCs w:val="24"/>
        </w:rPr>
        <w:t xml:space="preserve">European Environment Agency (EEA). (2023). </w:t>
      </w:r>
      <w:r>
        <w:rPr>
          <w:rFonts w:eastAsia="Times New Roman" w:cs="Times New Roman"/>
          <w:i/>
          <w:iCs/>
          <w:sz w:val="24"/>
          <w:szCs w:val="24"/>
        </w:rPr>
        <w:t>EMEP/EEA Air Pollutant Emission Inventory Guidebook 2023</w:t>
      </w:r>
      <w:r>
        <w:rPr>
          <w:rFonts w:eastAsia="Times New Roman" w:cs="Times New Roman"/>
          <w:sz w:val="24"/>
          <w:szCs w:val="24"/>
        </w:rPr>
        <w:t>. EEA Technical Report. Copenhagen: EEA.</w:t>
      </w:r>
    </w:p>
    <w:p>
      <w:pPr>
        <w:pStyle w:val="Normal"/>
        <w:spacing w:before="0" w:after="120"/>
        <w:ind w:hanging="720" w:start="720"/>
        <w:rPr/>
      </w:pPr>
      <w:r>
        <w:rPr>
          <w:rFonts w:eastAsia="Times New Roman" w:cs="Times New Roman"/>
          <w:sz w:val="24"/>
          <w:szCs w:val="24"/>
        </w:rPr>
        <w:t xml:space="preserve">Jiang, P., Ergu, D., Liu, F., Cai, Y., &amp; Ma, B. (2022). A review of YOLO algorithm developments. </w:t>
      </w:r>
      <w:r>
        <w:rPr>
          <w:rFonts w:eastAsia="Times New Roman" w:cs="Times New Roman"/>
          <w:i/>
          <w:iCs/>
          <w:sz w:val="24"/>
          <w:szCs w:val="24"/>
        </w:rPr>
        <w:t>Procedia Computer Science</w:t>
      </w:r>
      <w:r>
        <w:rPr>
          <w:rFonts w:eastAsia="Times New Roman" w:cs="Times New Roman"/>
          <w:sz w:val="24"/>
          <w:szCs w:val="24"/>
        </w:rPr>
        <w:t>, 199, 1066–1073.</w:t>
      </w:r>
    </w:p>
    <w:p>
      <w:pPr>
        <w:pStyle w:val="Normal"/>
        <w:spacing w:before="0" w:after="120"/>
        <w:ind w:hanging="720" w:start="720"/>
        <w:rPr/>
      </w:pPr>
      <w:r>
        <w:rPr>
          <w:rFonts w:eastAsia="Times New Roman" w:cs="Times New Roman"/>
          <w:sz w:val="24"/>
          <w:szCs w:val="24"/>
        </w:rPr>
        <w:t xml:space="preserve">Kumar, P., Morawska, L., Martani, C., Biskos, G., Neophytou, M., Di Sabatino, S., et al. (2020). The rise of low-cost sensing for managing air pollution in cities. </w:t>
      </w:r>
      <w:r>
        <w:rPr>
          <w:rFonts w:eastAsia="Times New Roman" w:cs="Times New Roman"/>
          <w:i/>
          <w:iCs/>
          <w:sz w:val="24"/>
          <w:szCs w:val="24"/>
        </w:rPr>
        <w:t>Environment International</w:t>
      </w:r>
      <w:r>
        <w:rPr>
          <w:rFonts w:eastAsia="Times New Roman" w:cs="Times New Roman"/>
          <w:sz w:val="24"/>
          <w:szCs w:val="24"/>
        </w:rPr>
        <w:t>, 75, 199–205.</w:t>
      </w:r>
    </w:p>
    <w:p>
      <w:pPr>
        <w:pStyle w:val="Normal"/>
        <w:spacing w:before="0" w:after="120"/>
        <w:ind w:hanging="720" w:start="720"/>
        <w:rPr/>
      </w:pPr>
      <w:r>
        <w:rPr>
          <w:rFonts w:eastAsia="Times New Roman" w:cs="Times New Roman"/>
          <w:sz w:val="24"/>
          <w:szCs w:val="24"/>
        </w:rPr>
        <w:t xml:space="preserve">Mokhtarzadeh, S., Heidari, M., &amp; Ahadi, M. (2021). Prediction of CO₂ emission from light-duty vehicles using machine learning. </w:t>
      </w:r>
      <w:r>
        <w:rPr>
          <w:rFonts w:eastAsia="Times New Roman" w:cs="Times New Roman"/>
          <w:i/>
          <w:iCs/>
          <w:sz w:val="24"/>
          <w:szCs w:val="24"/>
        </w:rPr>
        <w:t>Environmental Science and Pollution Research</w:t>
      </w:r>
      <w:r>
        <w:rPr>
          <w:rFonts w:eastAsia="Times New Roman" w:cs="Times New Roman"/>
          <w:sz w:val="24"/>
          <w:szCs w:val="24"/>
        </w:rPr>
        <w:t>, 28, 52832–52845.</w:t>
      </w:r>
    </w:p>
    <w:p>
      <w:pPr>
        <w:pStyle w:val="Normal"/>
        <w:spacing w:before="0" w:after="120"/>
        <w:ind w:hanging="720" w:start="720"/>
        <w:rPr/>
      </w:pPr>
      <w:r>
        <w:rPr>
          <w:rFonts w:eastAsia="Times New Roman" w:cs="Times New Roman"/>
          <w:sz w:val="24"/>
          <w:szCs w:val="24"/>
        </w:rPr>
        <w:t xml:space="preserve">Nowak, D. J., Crane, D. E., &amp; Stevens, J. C. (2006). Air pollution removal by urban trees and shrubs in the United States. </w:t>
      </w:r>
      <w:r>
        <w:rPr>
          <w:rFonts w:eastAsia="Times New Roman" w:cs="Times New Roman"/>
          <w:i/>
          <w:iCs/>
          <w:sz w:val="24"/>
          <w:szCs w:val="24"/>
        </w:rPr>
        <w:t>Urban Forestry &amp; Urban Greening</w:t>
      </w:r>
      <w:r>
        <w:rPr>
          <w:rFonts w:eastAsia="Times New Roman" w:cs="Times New Roman"/>
          <w:sz w:val="24"/>
          <w:szCs w:val="24"/>
        </w:rPr>
        <w:t>, 4(3–4), 115–123.</w:t>
      </w:r>
    </w:p>
    <w:p>
      <w:pPr>
        <w:pStyle w:val="Normal"/>
        <w:spacing w:before="0" w:after="120"/>
        <w:ind w:hanging="720" w:start="720"/>
        <w:rPr/>
      </w:pPr>
      <w:r>
        <w:rPr>
          <w:rFonts w:eastAsia="Times New Roman" w:cs="Times New Roman"/>
          <w:sz w:val="24"/>
          <w:szCs w:val="24"/>
        </w:rPr>
        <w:t xml:space="preserve">Nowak, D. J., Greenfield, E. J., Hoehn, R. E., &amp; Lapoint, E. (2013). Carbon storage and sequestration by trees in urban and community areas of the United States. </w:t>
      </w:r>
      <w:r>
        <w:rPr>
          <w:rFonts w:eastAsia="Times New Roman" w:cs="Times New Roman"/>
          <w:i/>
          <w:iCs/>
          <w:sz w:val="24"/>
          <w:szCs w:val="24"/>
        </w:rPr>
        <w:t>Environmental Pollution</w:t>
      </w:r>
      <w:r>
        <w:rPr>
          <w:rFonts w:eastAsia="Times New Roman" w:cs="Times New Roman"/>
          <w:sz w:val="24"/>
          <w:szCs w:val="24"/>
        </w:rPr>
        <w:t>, 178, 229–236.</w:t>
      </w:r>
    </w:p>
    <w:p>
      <w:pPr>
        <w:pStyle w:val="Normal"/>
        <w:spacing w:before="0" w:after="120"/>
        <w:ind w:hanging="720" w:start="720"/>
        <w:rPr/>
      </w:pPr>
      <w:r>
        <w:rPr>
          <w:rFonts w:eastAsia="Times New Roman" w:cs="Times New Roman"/>
          <w:sz w:val="24"/>
          <w:szCs w:val="24"/>
        </w:rPr>
        <w:t xml:space="preserve">Oke, T. R. (1988). Street design and urban canopy layer climate. </w:t>
      </w:r>
      <w:r>
        <w:rPr>
          <w:rFonts w:eastAsia="Times New Roman" w:cs="Times New Roman"/>
          <w:i/>
          <w:iCs/>
          <w:sz w:val="24"/>
          <w:szCs w:val="24"/>
        </w:rPr>
        <w:t>Energy and Buildings</w:t>
      </w:r>
      <w:r>
        <w:rPr>
          <w:rFonts w:eastAsia="Times New Roman" w:cs="Times New Roman"/>
          <w:sz w:val="24"/>
          <w:szCs w:val="24"/>
        </w:rPr>
        <w:t>, 11(1–3), 103–113.</w:t>
      </w:r>
    </w:p>
    <w:p>
      <w:pPr>
        <w:pStyle w:val="Normal"/>
        <w:spacing w:before="0" w:after="120"/>
        <w:ind w:hanging="720" w:start="720"/>
        <w:rPr/>
      </w:pPr>
      <w:r>
        <w:rPr>
          <w:rFonts w:eastAsia="Times New Roman" w:cs="Times New Roman"/>
          <w:sz w:val="24"/>
          <w:szCs w:val="24"/>
        </w:rPr>
        <w:t xml:space="preserve">Peng, Z., Hu, Y., Liu, G., Zhang, X., &amp; Chen, X. (2023). Improvements of simulating urban atmospheric CO₂ concentration by coupling planetary boundary layer dynamics with building canyon effects. </w:t>
      </w:r>
      <w:r>
        <w:rPr>
          <w:rFonts w:eastAsia="Times New Roman" w:cs="Times New Roman"/>
          <w:i/>
          <w:iCs/>
          <w:sz w:val="24"/>
          <w:szCs w:val="24"/>
        </w:rPr>
        <w:t>Urban Climate</w:t>
      </w:r>
      <w:r>
        <w:rPr>
          <w:rFonts w:eastAsia="Times New Roman" w:cs="Times New Roman"/>
          <w:sz w:val="24"/>
          <w:szCs w:val="24"/>
        </w:rPr>
        <w:t>, 47, 101357.</w:t>
      </w:r>
    </w:p>
    <w:p>
      <w:pPr>
        <w:pStyle w:val="Normal"/>
        <w:spacing w:before="0" w:after="120"/>
        <w:ind w:hanging="720" w:start="720"/>
        <w:rPr/>
      </w:pPr>
      <w:r>
        <w:rPr>
          <w:rFonts w:eastAsia="Times New Roman" w:cs="Times New Roman"/>
          <w:sz w:val="24"/>
          <w:szCs w:val="24"/>
        </w:rPr>
        <w:t xml:space="preserve">Redmon, J., &amp; Farhadi, A. (2018). YOLOv3: An incremental improvement. </w:t>
      </w:r>
      <w:r>
        <w:rPr>
          <w:rFonts w:eastAsia="Times New Roman" w:cs="Times New Roman"/>
          <w:i/>
          <w:iCs/>
          <w:sz w:val="24"/>
          <w:szCs w:val="24"/>
        </w:rPr>
        <w:t>arXiv preprint arXiv:1804.02767</w:t>
      </w:r>
      <w:r>
        <w:rPr>
          <w:rFonts w:eastAsia="Times New Roman" w:cs="Times New Roman"/>
          <w:sz w:val="24"/>
          <w:szCs w:val="24"/>
        </w:rPr>
        <w:t>.</w:t>
      </w:r>
    </w:p>
    <w:p>
      <w:pPr>
        <w:pStyle w:val="Normal"/>
        <w:spacing w:before="0" w:after="120"/>
        <w:ind w:hanging="720" w:start="720"/>
        <w:rPr/>
      </w:pPr>
      <w:r>
        <w:rPr>
          <w:rFonts w:eastAsia="Times New Roman" w:cs="Times New Roman"/>
          <w:sz w:val="24"/>
          <w:szCs w:val="24"/>
        </w:rPr>
        <w:t xml:space="preserve">Ultralytics. (2023). </w:t>
      </w:r>
      <w:r>
        <w:rPr>
          <w:rFonts w:eastAsia="Times New Roman" w:cs="Times New Roman"/>
          <w:i/>
          <w:iCs/>
          <w:sz w:val="24"/>
          <w:szCs w:val="24"/>
        </w:rPr>
        <w:t>YOLOv8: A new state-of-the-art real-time object detector</w:t>
      </w:r>
      <w:r>
        <w:rPr>
          <w:rFonts w:eastAsia="Times New Roman" w:cs="Times New Roman"/>
          <w:sz w:val="24"/>
          <w:szCs w:val="24"/>
        </w:rPr>
        <w:t>. Retrieved from https://github.com/ultralytics/ultralytics.</w:t>
      </w:r>
    </w:p>
    <w:p>
      <w:pPr>
        <w:pStyle w:val="Normal"/>
        <w:spacing w:before="0" w:after="120"/>
        <w:ind w:hanging="720" w:start="720"/>
        <w:rPr/>
      </w:pPr>
      <w:r>
        <w:rPr>
          <w:rFonts w:eastAsia="Times New Roman" w:cs="Times New Roman"/>
          <w:sz w:val="24"/>
          <w:szCs w:val="24"/>
        </w:rPr>
        <w:t xml:space="preserve">Vardoulakis, S., Fisher, B. E. A., Pericleous, K., &amp; Gonzalez-Flesca, N. (2003). Modelling air quality in street canyons: A review. </w:t>
      </w:r>
      <w:r>
        <w:rPr>
          <w:rFonts w:eastAsia="Times New Roman" w:cs="Times New Roman"/>
          <w:i/>
          <w:iCs/>
          <w:sz w:val="24"/>
          <w:szCs w:val="24"/>
        </w:rPr>
        <w:t>Atmospheric Environment</w:t>
      </w:r>
      <w:r>
        <w:rPr>
          <w:rFonts w:eastAsia="Times New Roman" w:cs="Times New Roman"/>
          <w:sz w:val="24"/>
          <w:szCs w:val="24"/>
        </w:rPr>
        <w:t>, 37(2), 155–182.</w:t>
      </w:r>
    </w:p>
    <w:sectPr>
      <w:type w:val="nextPage"/>
      <w:pgSz w:w="11906" w:h="16838"/>
      <w:pgMar w:left="1699" w:right="169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lineRule="auto" w:line="276"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lineRule="auto" w:line="276"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LibreOffice_project/3346a99e6b841765b75a9b29714a5b95c6761ce3</Application>
  <AppVersion>15.0000</AppVersion>
  <Pages>12</Pages>
  <Words>4326</Words>
  <Characters>26057</Characters>
  <CharactersWithSpaces>30185</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2026-07-17T02:56:54Z</dcterms:created>
  <dc:creator>Un-named</dc:creator>
  <dc:description/>
  <dc:language>fr-FR</dc:language>
  <cp:lastModifiedBy/>
  <dcterms:modified xsi:type="dcterms:W3CDTF">2026-07-17T06:22:32Z</dcterms:modified>
  <cp:revision>2</cp:revision>
  <dc:subject/>
  <dc:title/>
</cp:coreProperties>
</file>