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B1248" w:rsidRPr="00C237AF" w14:paraId="5C8A8999" w14:textId="77777777" w:rsidTr="00CB1248">
        <w:tc>
          <w:tcPr>
            <w:tcW w:w="1165" w:type="dxa"/>
          </w:tcPr>
          <w:p w14:paraId="03D6F7B4" w14:textId="22D9CCAB" w:rsidR="00CB1248" w:rsidRPr="00C237AF" w:rsidRDefault="00CB1248">
            <w:pPr>
              <w:rPr>
                <w:b/>
                <w:bCs/>
                <w:sz w:val="22"/>
                <w:szCs w:val="22"/>
              </w:rPr>
            </w:pPr>
            <w:r w:rsidRPr="00C237AF">
              <w:rPr>
                <w:b/>
                <w:bCs/>
                <w:sz w:val="22"/>
                <w:szCs w:val="22"/>
              </w:rPr>
              <w:t>Check</w:t>
            </w:r>
          </w:p>
        </w:tc>
        <w:tc>
          <w:tcPr>
            <w:tcW w:w="8185" w:type="dxa"/>
          </w:tcPr>
          <w:p w14:paraId="68E96312" w14:textId="1BF76311" w:rsidR="00CB1248" w:rsidRPr="00C237AF" w:rsidRDefault="00CB1248">
            <w:pPr>
              <w:rPr>
                <w:b/>
                <w:bCs/>
                <w:sz w:val="22"/>
                <w:szCs w:val="22"/>
              </w:rPr>
            </w:pPr>
            <w:r w:rsidRPr="00C237AF">
              <w:rPr>
                <w:b/>
                <w:bCs/>
                <w:sz w:val="22"/>
                <w:szCs w:val="22"/>
              </w:rPr>
              <w:t>Item</w:t>
            </w:r>
          </w:p>
        </w:tc>
      </w:tr>
      <w:tr w:rsidR="00CB1248" w:rsidRPr="0059405A" w14:paraId="42369553" w14:textId="77777777" w:rsidTr="00CB1248">
        <w:tc>
          <w:tcPr>
            <w:tcW w:w="1165" w:type="dxa"/>
          </w:tcPr>
          <w:p w14:paraId="49CD872D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6CC7A5F5" w14:textId="79223355" w:rsidR="00CB1248" w:rsidRPr="0059405A" w:rsidRDefault="009E355B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Format: Arial, size 11, double space</w:t>
            </w:r>
            <w:r w:rsidR="00F77A1B" w:rsidRPr="0059405A">
              <w:rPr>
                <w:sz w:val="22"/>
                <w:szCs w:val="22"/>
              </w:rPr>
              <w:t xml:space="preserve">, </w:t>
            </w:r>
            <w:r w:rsidR="00EA4F64" w:rsidRPr="0059405A">
              <w:rPr>
                <w:sz w:val="22"/>
                <w:szCs w:val="22"/>
              </w:rPr>
              <w:t>0.5-inch</w:t>
            </w:r>
            <w:r w:rsidR="00F77A1B" w:rsidRPr="0059405A">
              <w:rPr>
                <w:sz w:val="22"/>
                <w:szCs w:val="22"/>
              </w:rPr>
              <w:t xml:space="preserve"> margins</w:t>
            </w:r>
          </w:p>
        </w:tc>
      </w:tr>
      <w:tr w:rsidR="00A93AC6" w:rsidRPr="0059405A" w14:paraId="080164E0" w14:textId="77777777" w:rsidTr="00CB1248">
        <w:tc>
          <w:tcPr>
            <w:tcW w:w="1165" w:type="dxa"/>
          </w:tcPr>
          <w:p w14:paraId="4A8C1C7E" w14:textId="77777777" w:rsidR="00A93AC6" w:rsidRPr="0059405A" w:rsidRDefault="00A93AC6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7C2DE6EF" w14:textId="1917B26D" w:rsidR="00A93AC6" w:rsidRPr="0059405A" w:rsidRDefault="00A93AC6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Make sure the number of tables/figures/words/abstract words fulfills the journal’s requirements.</w:t>
            </w:r>
          </w:p>
        </w:tc>
      </w:tr>
      <w:tr w:rsidR="00CB1248" w:rsidRPr="0059405A" w14:paraId="237E636E" w14:textId="77777777" w:rsidTr="00CB1248">
        <w:tc>
          <w:tcPr>
            <w:tcW w:w="1165" w:type="dxa"/>
          </w:tcPr>
          <w:p w14:paraId="430B6B97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82B62EA" w14:textId="3128B148" w:rsidR="00CB1248" w:rsidRPr="0059405A" w:rsidRDefault="00A93395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Make sure e</w:t>
            </w:r>
            <w:r w:rsidR="00B6046B" w:rsidRPr="0059405A">
              <w:rPr>
                <w:sz w:val="22"/>
                <w:szCs w:val="22"/>
              </w:rPr>
              <w:t>ach section in the main manuscript (Introduction, Methods, Discussion, and Conclusions) starts at the top of a page.</w:t>
            </w:r>
          </w:p>
        </w:tc>
      </w:tr>
      <w:tr w:rsidR="00CB1248" w:rsidRPr="0059405A" w14:paraId="4B56A167" w14:textId="77777777" w:rsidTr="00CB1248">
        <w:tc>
          <w:tcPr>
            <w:tcW w:w="1165" w:type="dxa"/>
          </w:tcPr>
          <w:p w14:paraId="42B9442F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58799504" w14:textId="2FE38510" w:rsidR="00CB1248" w:rsidRPr="0059405A" w:rsidRDefault="00F7556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“</w:t>
            </w:r>
            <w:r w:rsidR="00B6046B" w:rsidRPr="0059405A">
              <w:rPr>
                <w:sz w:val="22"/>
                <w:szCs w:val="22"/>
              </w:rPr>
              <w:t xml:space="preserve">Author </w:t>
            </w:r>
            <w:r w:rsidRPr="0059405A">
              <w:rPr>
                <w:sz w:val="22"/>
                <w:szCs w:val="22"/>
              </w:rPr>
              <w:t>C</w:t>
            </w:r>
            <w:r w:rsidR="00B6046B" w:rsidRPr="0059405A">
              <w:rPr>
                <w:sz w:val="22"/>
                <w:szCs w:val="22"/>
              </w:rPr>
              <w:t>ontributions</w:t>
            </w:r>
            <w:r w:rsidRPr="0059405A">
              <w:rPr>
                <w:sz w:val="22"/>
                <w:szCs w:val="22"/>
              </w:rPr>
              <w:t xml:space="preserve">” section </w:t>
            </w:r>
            <w:proofErr w:type="spellStart"/>
            <w:r w:rsidRPr="0059405A">
              <w:rPr>
                <w:sz w:val="22"/>
                <w:szCs w:val="22"/>
              </w:rPr>
              <w:t>shoud</w:t>
            </w:r>
            <w:proofErr w:type="spellEnd"/>
            <w:r w:rsidR="00B6046B" w:rsidRPr="0059405A">
              <w:rPr>
                <w:sz w:val="22"/>
                <w:szCs w:val="22"/>
              </w:rPr>
              <w:t xml:space="preserve"> follow this guideline: </w:t>
            </w:r>
            <w:hyperlink r:id="rId4" w:history="1">
              <w:r w:rsidR="00B6046B" w:rsidRPr="0059405A">
                <w:rPr>
                  <w:rStyle w:val="Hyperlink"/>
                  <w:sz w:val="22"/>
                  <w:szCs w:val="22"/>
                </w:rPr>
                <w:t>https://www.elsevier.com/authors/policies-and-guidelines/credit-author-statement</w:t>
              </w:r>
            </w:hyperlink>
            <w:r w:rsidR="00B6046B" w:rsidRPr="0059405A">
              <w:rPr>
                <w:sz w:val="22"/>
                <w:szCs w:val="22"/>
              </w:rPr>
              <w:t xml:space="preserve"> </w:t>
            </w:r>
          </w:p>
        </w:tc>
      </w:tr>
      <w:tr w:rsidR="00CB1248" w:rsidRPr="0059405A" w14:paraId="71B48C8C" w14:textId="77777777" w:rsidTr="00CB1248">
        <w:tc>
          <w:tcPr>
            <w:tcW w:w="1165" w:type="dxa"/>
          </w:tcPr>
          <w:p w14:paraId="557ADC49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6561BDA0" w14:textId="17B76409" w:rsidR="00CB1248" w:rsidRPr="0059405A" w:rsidRDefault="004A6EFA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Manuscript follows our in-house template</w:t>
            </w:r>
            <w:r w:rsidR="00CA0DE9" w:rsidRPr="0059405A">
              <w:rPr>
                <w:sz w:val="22"/>
                <w:szCs w:val="22"/>
              </w:rPr>
              <w:t xml:space="preserve"> when drafting</w:t>
            </w:r>
            <w:r w:rsidRPr="0059405A">
              <w:rPr>
                <w:sz w:val="22"/>
                <w:szCs w:val="22"/>
              </w:rPr>
              <w:t>, and then is split based on the submission system requirements.</w:t>
            </w:r>
            <w:r w:rsidR="00093F3E" w:rsidRPr="0059405A">
              <w:rPr>
                <w:sz w:val="22"/>
                <w:szCs w:val="22"/>
              </w:rPr>
              <w:t xml:space="preserve"> Store all</w:t>
            </w:r>
            <w:r w:rsidR="002F07B7" w:rsidRPr="0059405A">
              <w:rPr>
                <w:sz w:val="22"/>
                <w:szCs w:val="22"/>
              </w:rPr>
              <w:t xml:space="preserve"> split</w:t>
            </w:r>
            <w:r w:rsidR="00093F3E" w:rsidRPr="0059405A">
              <w:rPr>
                <w:sz w:val="22"/>
                <w:szCs w:val="22"/>
              </w:rPr>
              <w:t xml:space="preserve"> documents that will be uploaded to the submission system in an independent folder.</w:t>
            </w:r>
          </w:p>
        </w:tc>
      </w:tr>
      <w:tr w:rsidR="00CB1248" w:rsidRPr="0059405A" w14:paraId="51F08E57" w14:textId="77777777" w:rsidTr="00CB1248">
        <w:tc>
          <w:tcPr>
            <w:tcW w:w="1165" w:type="dxa"/>
          </w:tcPr>
          <w:p w14:paraId="3680C681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054C0F38" w14:textId="7BEB0832" w:rsidR="00CB1248" w:rsidRPr="0059405A" w:rsidRDefault="003B593A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Reference format is consistent with the target journal’s requirement.</w:t>
            </w:r>
          </w:p>
        </w:tc>
      </w:tr>
      <w:tr w:rsidR="00CB1248" w:rsidRPr="0059405A" w14:paraId="3A6CBB3B" w14:textId="77777777" w:rsidTr="00CB1248">
        <w:tc>
          <w:tcPr>
            <w:tcW w:w="1165" w:type="dxa"/>
          </w:tcPr>
          <w:p w14:paraId="149185E3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DCA069F" w14:textId="0D539664" w:rsidR="00CB1248" w:rsidRPr="0059405A" w:rsidRDefault="00287EB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Words in figures should be as big as possible and clear enough.</w:t>
            </w:r>
            <w:r w:rsidR="00F7556F" w:rsidRPr="0059405A">
              <w:rPr>
                <w:sz w:val="22"/>
                <w:szCs w:val="22"/>
              </w:rPr>
              <w:t xml:space="preserve"> Figures are wrapped using</w:t>
            </w:r>
            <w:r w:rsidR="00785FF2" w:rsidRPr="0059405A">
              <w:rPr>
                <w:sz w:val="22"/>
                <w:szCs w:val="22"/>
              </w:rPr>
              <w:t xml:space="preserve"> “squared” method, and then grouped with</w:t>
            </w:r>
            <w:r w:rsidR="003F03C6" w:rsidRPr="0059405A">
              <w:rPr>
                <w:sz w:val="22"/>
                <w:szCs w:val="22"/>
              </w:rPr>
              <w:t xml:space="preserve"> the</w:t>
            </w:r>
            <w:r w:rsidR="00F7556F" w:rsidRPr="0059405A">
              <w:rPr>
                <w:sz w:val="22"/>
                <w:szCs w:val="22"/>
              </w:rPr>
              <w:t xml:space="preserve"> </w:t>
            </w:r>
            <w:r w:rsidR="00785FF2" w:rsidRPr="0059405A">
              <w:rPr>
                <w:sz w:val="22"/>
                <w:szCs w:val="22"/>
              </w:rPr>
              <w:t>c</w:t>
            </w:r>
            <w:r w:rsidR="00F7556F" w:rsidRPr="0059405A">
              <w:rPr>
                <w:sz w:val="22"/>
                <w:szCs w:val="22"/>
              </w:rPr>
              <w:t>aption</w:t>
            </w:r>
            <w:r w:rsidR="00785FF2" w:rsidRPr="0059405A">
              <w:rPr>
                <w:sz w:val="22"/>
                <w:szCs w:val="22"/>
              </w:rPr>
              <w:t>.</w:t>
            </w:r>
            <w:r w:rsidR="00A6045D" w:rsidRPr="0059405A">
              <w:rPr>
                <w:sz w:val="22"/>
                <w:szCs w:val="22"/>
              </w:rPr>
              <w:t xml:space="preserve"> Sub-figures are labeled with</w:t>
            </w:r>
            <w:r w:rsidR="009245E2" w:rsidRPr="0059405A">
              <w:rPr>
                <w:sz w:val="22"/>
                <w:szCs w:val="22"/>
              </w:rPr>
              <w:t xml:space="preserve"> characters such as</w:t>
            </w:r>
            <w:r w:rsidR="00A6045D" w:rsidRPr="0059405A">
              <w:rPr>
                <w:sz w:val="22"/>
                <w:szCs w:val="22"/>
              </w:rPr>
              <w:t xml:space="preserve"> “(A)”, “(B)”</w:t>
            </w:r>
            <w:r w:rsidR="00794FDF" w:rsidRPr="0059405A">
              <w:rPr>
                <w:sz w:val="22"/>
                <w:szCs w:val="22"/>
              </w:rPr>
              <w:t>.</w:t>
            </w:r>
          </w:p>
        </w:tc>
      </w:tr>
      <w:tr w:rsidR="00CB1248" w:rsidRPr="0059405A" w14:paraId="2D047E17" w14:textId="77777777" w:rsidTr="00CB1248">
        <w:tc>
          <w:tcPr>
            <w:tcW w:w="1165" w:type="dxa"/>
          </w:tcPr>
          <w:p w14:paraId="7857AC7C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5680FA05" w14:textId="0F973736" w:rsidR="00CB1248" w:rsidRPr="0059405A" w:rsidRDefault="00287EB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Manuscript is “spellchecked,” and “</w:t>
            </w:r>
            <w:proofErr w:type="spellStart"/>
            <w:r w:rsidRPr="0059405A">
              <w:rPr>
                <w:sz w:val="22"/>
                <w:szCs w:val="22"/>
              </w:rPr>
              <w:t>grammer</w:t>
            </w:r>
            <w:proofErr w:type="spellEnd"/>
            <w:r w:rsidRPr="0059405A">
              <w:rPr>
                <w:sz w:val="22"/>
                <w:szCs w:val="22"/>
              </w:rPr>
              <w:t>-checked”</w:t>
            </w:r>
            <w:r w:rsidR="00D37A6A" w:rsidRPr="0059405A">
              <w:rPr>
                <w:sz w:val="22"/>
                <w:szCs w:val="22"/>
              </w:rPr>
              <w:t>.</w:t>
            </w:r>
          </w:p>
        </w:tc>
      </w:tr>
      <w:tr w:rsidR="0089794E" w:rsidRPr="0059405A" w14:paraId="67B76883" w14:textId="77777777" w:rsidTr="00CB1248">
        <w:tc>
          <w:tcPr>
            <w:tcW w:w="1165" w:type="dxa"/>
          </w:tcPr>
          <w:p w14:paraId="29B2A368" w14:textId="77777777" w:rsidR="0089794E" w:rsidRPr="0059405A" w:rsidRDefault="0089794E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45339A68" w14:textId="595FCB58" w:rsidR="0089794E" w:rsidRPr="0059405A" w:rsidRDefault="0089794E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Double check how to write the “Conflict of Interest” section with collaborators who have an affiliation with a commercial company.</w:t>
            </w:r>
          </w:p>
        </w:tc>
      </w:tr>
      <w:tr w:rsidR="008724C6" w:rsidRPr="0059405A" w14:paraId="2AB4C0D4" w14:textId="77777777" w:rsidTr="00CB1248">
        <w:tc>
          <w:tcPr>
            <w:tcW w:w="1165" w:type="dxa"/>
          </w:tcPr>
          <w:p w14:paraId="77A570A3" w14:textId="77777777" w:rsidR="008724C6" w:rsidRPr="0059405A" w:rsidRDefault="008724C6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0DF1EFE" w14:textId="495567BD" w:rsidR="008724C6" w:rsidRPr="0059405A" w:rsidRDefault="008724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Recommended reviewers are more than the leas</w:t>
            </w:r>
            <w:r w:rsidR="003F67DA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 number of required recommended reviewers. They should have no collaboration with us</w:t>
            </w:r>
            <w:r w:rsidR="00726FF7">
              <w:rPr>
                <w:sz w:val="22"/>
                <w:szCs w:val="22"/>
              </w:rPr>
              <w:t>, no overlap with our affiliations,</w:t>
            </w:r>
            <w:r>
              <w:rPr>
                <w:sz w:val="22"/>
                <w:szCs w:val="22"/>
              </w:rPr>
              <w:t xml:space="preserve"> and be junior researchers (Post Doc, Assistant Professor). Write the reviewers at the end of the cover letter. </w:t>
            </w:r>
          </w:p>
        </w:tc>
      </w:tr>
    </w:tbl>
    <w:p w14:paraId="022B387E" w14:textId="77777777" w:rsidR="009B49F2" w:rsidRDefault="009B49F2"/>
    <w:sectPr w:rsidR="009B49F2" w:rsidSect="006D3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F"/>
    <w:rsid w:val="00093F3E"/>
    <w:rsid w:val="00287EBF"/>
    <w:rsid w:val="002F07B7"/>
    <w:rsid w:val="003B593A"/>
    <w:rsid w:val="003F03C6"/>
    <w:rsid w:val="003F67DA"/>
    <w:rsid w:val="0047170B"/>
    <w:rsid w:val="004A6EFA"/>
    <w:rsid w:val="0059405A"/>
    <w:rsid w:val="006D3D29"/>
    <w:rsid w:val="007240CF"/>
    <w:rsid w:val="00726FF7"/>
    <w:rsid w:val="0073156F"/>
    <w:rsid w:val="00785FF2"/>
    <w:rsid w:val="00794FDF"/>
    <w:rsid w:val="007B7104"/>
    <w:rsid w:val="008724C6"/>
    <w:rsid w:val="0089794E"/>
    <w:rsid w:val="009245E2"/>
    <w:rsid w:val="00954E22"/>
    <w:rsid w:val="009B4560"/>
    <w:rsid w:val="009B49F2"/>
    <w:rsid w:val="009E355B"/>
    <w:rsid w:val="00A6045D"/>
    <w:rsid w:val="00A93395"/>
    <w:rsid w:val="00A93AC6"/>
    <w:rsid w:val="00B6046B"/>
    <w:rsid w:val="00C237AF"/>
    <w:rsid w:val="00CA0DE9"/>
    <w:rsid w:val="00CB1248"/>
    <w:rsid w:val="00D37A6A"/>
    <w:rsid w:val="00EA4F64"/>
    <w:rsid w:val="00F7556F"/>
    <w:rsid w:val="00F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A73B"/>
  <w15:chartTrackingRefBased/>
  <w15:docId w15:val="{A616A662-AC84-644F-92DE-0369230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sevier.com/authors/policies-and-guidelines/credit-author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Xinsong</dc:creator>
  <cp:keywords/>
  <dc:description/>
  <cp:lastModifiedBy>Du, Xinsong</cp:lastModifiedBy>
  <cp:revision>39</cp:revision>
  <dcterms:created xsi:type="dcterms:W3CDTF">2022-06-16T20:18:00Z</dcterms:created>
  <dcterms:modified xsi:type="dcterms:W3CDTF">2022-06-16T21:00:00Z</dcterms:modified>
</cp:coreProperties>
</file>