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5D4F"/>
          <w:sz w:val="18"/>
          <w:szCs w:val="18"/>
        </w:rPr>
        <w:t xml:space="preserve">CIENCIA CIUDADANA AMBIENTAL · SALADILLO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B3D00"/>
          <w:sz w:val="34"/>
          <w:szCs w:val="34"/>
        </w:rPr>
        <w:t xml:space="preserve">Plan de despliegue — Fase 2: Saladillo y 25 de Mayo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6B5D4F"/>
          <w:sz w:val="20"/>
          <w:szCs w:val="20"/>
        </w:rPr>
        <w:t xml:space="preserve">Ing. Luciano Lamaita · preparado para la reunión institucional del 16 de septiembre de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B3D00"/>
        </w:rPr>
        <w:t xml:space="preserve">1. Contexto</w:t>
      </w:r>
    </w:p>
    <w:p>
      <w:pPr>
        <w:spacing w:after="160" w:line="276"/>
      </w:pPr>
      <w:r>
        <w:rPr>
          <w:rFonts w:ascii="Calibri" w:cs="Calibri" w:eastAsia="Calibri" w:hAnsi="Calibri"/>
          <w:color w:val="2A1D12"/>
          <w:sz w:val="22"/>
          <w:szCs w:val="22"/>
        </w:rPr>
        <w:t xml:space="preserve">Este documento acompaña la reunión institucional del 16/9 (convocada por la Jefatura Regional de Educación) y resume, para cada escuela seleccionada, qué se instala, qué se necesita del establecimiento y en qué orden se van a dar los pasos siguientes.</w:t>
      </w:r>
    </w:p>
    <w:p>
      <w:pPr>
        <w:spacing w:after="160" w:line="276"/>
      </w:pPr>
      <w:r>
        <w:rPr>
          <w:rFonts w:ascii="Calibri" w:cs="Calibri" w:eastAsia="Calibri" w:hAnsi="Calibri"/>
          <w:color w:val="2A1D12"/>
          <w:sz w:val="22"/>
          <w:szCs w:val="22"/>
        </w:rPr>
        <w:t xml:space="preserve">Es la segunda etapa de la red de monitoreo de calidad del aire que ya opera en escuelas de Saladillo (aq.lemeit.ar) — la primera con escuelas propias fuera del distrito, sumando el partido de 25 de Mayo.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B3D00"/>
        </w:rPr>
        <w:t xml:space="preserve">2. Las 5 escuelas</w:t>
      </w:r>
    </w:p>
    <w:p>
      <w:pPr>
        <w:spacing w:after="160" w:line="276"/>
      </w:pPr>
      <w:r>
        <w:rPr>
          <w:rFonts w:ascii="Calibri" w:cs="Calibri" w:eastAsia="Calibri" w:hAnsi="Calibri"/>
          <w:color w:val="2A1D12"/>
          <w:sz w:val="22"/>
          <w:szCs w:val="22"/>
        </w:rPr>
        <w:t xml:space="preserve">Selección: 4 escuelas confirmadas y 1 en proceso de reubicación (Colegio Secundario Madre Teresa) — 3 en Saladillo y 2 en el partido de 25 de Mayo, cubriendo en ambos partidos al menos una zona urbana y una rural.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1300"/>
        <w:gridCol w:w="2700"/>
      </w:tblGrid>
      <w:tr>
        <w:trPr>
          <w:tblHeader/>
        </w:trPr>
        <w:tc>
          <w:tcPr>
            <w:tcW w:type="dxa" w:w="31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17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DISTRITO</w:t>
            </w:r>
          </w:p>
        </w:tc>
        <w:tc>
          <w:tcPr>
            <w:tcW w:type="dxa" w:w="13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27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</w:tr>
      <w:tr>
        <w:tc>
          <w:tcPr>
            <w:tcW w:type="dxa" w:w="31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Esc. de Educación Secundaria N°2 "Manuel Pardal"</w:t>
            </w:r>
          </w:p>
        </w:tc>
        <w:tc>
          <w:tcPr>
            <w:tcW w:type="dxa" w:w="17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Saladillo</w:t>
            </w:r>
          </w:p>
        </w:tc>
        <w:tc>
          <w:tcPr>
            <w:tcW w:type="dxa" w:w="13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3D00"/>
                <w:sz w:val="20"/>
                <w:szCs w:val="20"/>
              </w:rPr>
              <w:t xml:space="preserve">Urbana</w:t>
            </w:r>
          </w:p>
        </w:tc>
        <w:tc>
          <w:tcPr>
            <w:tcW w:type="dxa" w:w="27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Calle Pereyra 3046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Instituto Niño Jesús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Saladillo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3D00"/>
                <w:sz w:val="20"/>
                <w:szCs w:val="20"/>
              </w:rPr>
              <w:t xml:space="preserve">Urbana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Av. Belgrano 2999</w:t>
            </w:r>
          </w:p>
        </w:tc>
      </w:tr>
      <w:tr>
        <w:tc>
          <w:tcPr>
            <w:tcW w:type="dxa" w:w="31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Colegio Secundario Madre Teresa</w:t>
            </w:r>
          </w:p>
        </w:tc>
        <w:tc>
          <w:tcPr>
            <w:tcW w:type="dxa" w:w="17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Saladillo</w:t>
            </w:r>
          </w:p>
        </w:tc>
        <w:tc>
          <w:tcPr>
            <w:tcW w:type="dxa" w:w="13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691F"/>
                <w:sz w:val="20"/>
                <w:szCs w:val="20"/>
              </w:rPr>
              <w:t xml:space="preserve">Rural</w:t>
            </w:r>
          </w:p>
        </w:tc>
        <w:tc>
          <w:tcPr>
            <w:tcW w:type="dxa" w:w="27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Calle Jauretche e Yrigoyen (en reubicación — a confirmar)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Esc. de Educación Artística N°1 "Lola Mora"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25 de Mayo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3D00"/>
                <w:sz w:val="20"/>
                <w:szCs w:val="20"/>
              </w:rPr>
              <w:t xml:space="preserve">Urbana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Calle 7 entre 23 y 24</w:t>
            </w:r>
          </w:p>
        </w:tc>
      </w:tr>
      <w:tr>
        <w:tc>
          <w:tcPr>
            <w:tcW w:type="dxa" w:w="31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Esc. Agraria C.M. Casares (EAS Del Valle)</w:t>
            </w:r>
          </w:p>
        </w:tc>
        <w:tc>
          <w:tcPr>
            <w:tcW w:type="dxa" w:w="17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25 de Mayo</w:t>
            </w:r>
          </w:p>
        </w:tc>
        <w:tc>
          <w:tcPr>
            <w:tcW w:type="dxa" w:w="13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691F"/>
                <w:sz w:val="20"/>
                <w:szCs w:val="20"/>
              </w:rPr>
              <w:t xml:space="preserve">Rural</w:t>
            </w:r>
          </w:p>
        </w:tc>
        <w:tc>
          <w:tcPr>
            <w:tcW w:type="dxa" w:w="27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Zona rural, Del Valle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B3D00"/>
        </w:rPr>
        <w:t xml:space="preserve">3. Qué se instala</w:t>
      </w:r>
    </w:p>
    <w:p>
      <w:pPr>
        <w:spacing w:after="160" w:line="276"/>
      </w:pPr>
      <w:r>
        <w:rPr>
          <w:rFonts w:ascii="Calibri" w:cs="Calibri" w:eastAsia="Calibri" w:hAnsi="Calibri"/>
          <w:color w:val="2A1D12"/>
          <w:sz w:val="22"/>
          <w:szCs w:val="22"/>
        </w:rPr>
        <w:t xml:space="preserve">El mismo equipamiento y arquitectura que ya está en funcionamiento en Aire Saladillo: sensores de bajo costo out-of-the-box (PurpleAir o AirGradient según disponibilidad), que miden material particulado (PM1.0 / PM2.5 / PM10), compuestos orgánicos volátiles (COV), NOx, CO₂, temperatura, humedad y presión.</w:t>
      </w:r>
    </w:p>
    <w:p>
      <w:pPr>
        <w:spacing w:after="160" w:line="276"/>
      </w:pPr>
      <w:r>
        <w:rPr>
          <w:rFonts w:ascii="Calibri" w:cs="Calibri" w:eastAsia="Calibri" w:hAnsi="Calibri"/>
          <w:color w:val="2A1D12"/>
          <w:sz w:val="22"/>
          <w:szCs w:val="22"/>
        </w:rPr>
        <w:t xml:space="preserve">Los datos quedan disponibles en tiempo real en aq.lemeit.ar — mapa en vivo, historial por sensor (24 h / 7 días / 30 días) en gráfico y tabla, y acceso abierto por API pública (JSON) y exportación a CSV, sin necesidad de infraestructura adicional en la escuela más allá de energía y red.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B3D00"/>
        </w:rPr>
        <w:t xml:space="preserve">4. Qué necesitamos de cada institución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NECESITA</w:t>
            </w:r>
          </w:p>
        </w:tc>
        <w:tc>
          <w:tcPr>
            <w:tcW w:type="dxa" w:w="62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Ubicación para el sensor</w:t>
            </w:r>
          </w:p>
        </w:tc>
        <w:tc>
          <w:tcPr>
            <w:tcW w:type="dxa" w:w="62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Un punto exterior con buena exposición al aire, protegido de lluvia directa (alero o similar) — típicamente sobre un muro o baranda, a 2–4 m de altura. Se define junto al referente de la institución durante la visita de relevamiento.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Energía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Un tomacorriente a alcance del cable de alimentación del sensor (o la posibilidad de extenderlo). El consumo es bajo, comparable al de un router hogareño.</w:t>
            </w:r>
          </w:p>
        </w:tc>
      </w:tr>
      <w:tr>
        <w:tc>
          <w:tcPr>
            <w:tcW w:type="dxa" w:w="26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62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Acceso a la red WiFi de la institución (SSID y contraseña). Si no es posible, se evalúa una alternativa por datos móviles caso por caso.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Referente institucional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Una persona del equipo directivo o docente que autorice el acceso el día de la instalación y actúe como enlace del proyecto dentro de la escuela.</w:t>
            </w:r>
          </w:p>
        </w:tc>
      </w:tr>
      <w:tr>
        <w:tc>
          <w:tcPr>
            <w:tcW w:type="dxa" w:w="26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Autorización de instalación</w:t>
            </w:r>
          </w:p>
        </w:tc>
        <w:tc>
          <w:tcPr>
            <w:tcW w:type="dxa" w:w="62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Conformidad formal de la institución para el montaje del equipo en el lugar acordado — puede resolverse en la misma reunión del 16/9 o por nota posterior.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B3D00"/>
        </w:rPr>
        <w:t xml:space="preserve">5. Cronograma de implementación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4900"/>
      </w:tblGrid>
      <w:tr>
        <w:trPr>
          <w:tblHeader/>
        </w:trPr>
        <w:tc>
          <w:tcPr>
            <w:tcW w:type="dxa" w:w="16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23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900"/>
            <w:shd w:fill="9B3D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INCLUYE</w:t>
            </w:r>
          </w:p>
        </w:tc>
      </w:tr>
      <w:tr>
        <w:tc>
          <w:tcPr>
            <w:tcW w:type="dxa" w:w="16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16/9</w:t>
            </w:r>
          </w:p>
        </w:tc>
        <w:tc>
          <w:tcPr>
            <w:tcW w:type="dxa" w:w="23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Reunión con equipos directivos</w:t>
            </w:r>
          </w:p>
        </w:tc>
        <w:tc>
          <w:tcPr>
            <w:tcW w:type="dxa" w:w="49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Presentación del proyecto y coordinación institucional. Se define un referente de contacto por escuela.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Próximas semanas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Relevamiento en sitio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Visita a cada institución para acordar junto al referente el punto exacto de instalación, y confirmar energía/WiFi disponibles.</w:t>
            </w:r>
          </w:p>
        </w:tc>
      </w:tr>
      <w:tr>
        <w:tc>
          <w:tcPr>
            <w:tcW w:type="dxa" w:w="16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Tras el relevamiento</w:t>
            </w:r>
          </w:p>
        </w:tc>
        <w:tc>
          <w:tcPr>
            <w:tcW w:type="dxa" w:w="23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Instalación y calibración</w:t>
            </w:r>
          </w:p>
        </w:tc>
        <w:tc>
          <w:tcPr>
            <w:tcW w:type="dxa" w:w="4900"/>
            <w:shd w:fill="F0EB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Montaje físico del sensor, conexión a energía y red, y verificación de la primera lectura en aq.lemeit.ar.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Meta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1D12"/>
                <w:sz w:val="20"/>
                <w:szCs w:val="20"/>
              </w:rPr>
              <w:t xml:space="preserve">Datos en vivo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1D12"/>
                <w:sz w:val="20"/>
                <w:szCs w:val="20"/>
              </w:rPr>
              <w:t xml:space="preserve">La escuela queda visible en el portal público, con acceso a su propio historial (24 h / 7 días / 30 días) y a la API abierta.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9B3D00"/>
        </w:rPr>
        <w:t xml:space="preserve">6. Próximos pasos y contacto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color w:val="2A1D12"/>
          <w:sz w:val="22"/>
          <w:szCs w:val="22"/>
        </w:rPr>
        <w:t xml:space="preserve">En la reunión del 16/9: confirmar referente institucional por escuela y coordinar una fecha tentativa de relevamiento.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color w:val="2A1D12"/>
          <w:sz w:val="22"/>
          <w:szCs w:val="22"/>
        </w:rPr>
        <w:t xml:space="preserve">Relevamiento en sitio: se agenda con cada referente en forma individual, sin necesidad de reunión conjunta.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color w:val="2A1D12"/>
          <w:sz w:val="22"/>
          <w:szCs w:val="22"/>
        </w:rPr>
        <w:t xml:space="preserve">Consultas o coordinación: lucianolamaita@gmail.com · más información del proyecto en profe.lemeit.ar y aq.lemeit.ar.</w:t>
      </w:r>
    </w:p>
    <w:p>
      <w:pPr>
        <w:pBdr>
          <w:top w:val="single" w:color="D8CFC2" w:sz="6" w:space="8"/>
        </w:pBdr>
        <w:spacing w:before="400"/>
      </w:pPr>
      <w:r>
        <w:rPr>
          <w:rFonts w:ascii="Calibri" w:cs="Calibri" w:eastAsia="Calibri" w:hAnsi="Calibri"/>
          <w:i/>
          <w:iCs/>
          <w:color w:val="6B5D4F"/>
          <w:sz w:val="16"/>
          <w:szCs w:val="16"/>
        </w:rPr>
        <w:t xml:space="preserve">Documento de trabajo — versión para la reunión del 16/9/2026. Direcciones y coordenadas a confirmar con cada institución durante el relevamiento en sitio.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2026-09-16T12:10:54.211Z</dcterms:created>
  <dcterms:modified xsi:type="dcterms:W3CDTF">2026-09-16T12:10:54.222Z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