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6B5D4F"/>
          <w:sz w:val="18"/>
          <w:szCs w:val="18"/>
        </w:rPr>
        <w:t xml:space="preserve">CIENCIA CIUDADANA AMBIENTAL · SALADILLO Y 25 DE MAYO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B3D00"/>
          <w:sz w:val="32"/>
          <w:szCs w:val="32"/>
        </w:rPr>
        <w:t xml:space="preserve">Hoja de especificaciones y requerimientos técnicos</w:t>
      </w:r>
    </w:p>
    <w:p>
      <w:pPr>
        <w:spacing w:after="260"/>
      </w:pPr>
      <w:r>
        <w:rPr>
          <w:rFonts w:ascii="Calibri" w:cs="Calibri" w:eastAsia="Calibri" w:hAnsi="Calibri"/>
          <w:color w:val="6B5D4F"/>
          <w:sz w:val="20"/>
          <w:szCs w:val="20"/>
        </w:rPr>
        <w:t xml:space="preserve">Sensores de calidad de aire — preparado para la reunión institucional del 16 de septiembre de 2026</w:t>
      </w:r>
    </w:p>
    <w:p>
      <w:pPr>
        <w:spacing w:after="100" w:before="220"/>
      </w:pPr>
      <w:r>
        <w:rPr>
          <w:rFonts w:ascii="Calibri" w:cs="Calibri" w:eastAsia="Calibri" w:hAnsi="Calibri"/>
          <w:b/>
          <w:bCs/>
          <w:color w:val="9B3D00"/>
          <w:sz w:val="28"/>
          <w:szCs w:val="28"/>
        </w:rPr>
        <w:t xml:space="preserve">1. Los sensores</w:t>
      </w:r>
    </w:p>
    <w:p>
      <w:pPr>
        <w:spacing w:after="100"/>
      </w:pPr>
      <w:r>
        <w:rPr>
          <w:rFonts w:ascii="Calibri" w:cs="Calibri" w:eastAsia="Calibri" w:hAnsi="Calibri"/>
          <w:color w:val="2A1D12"/>
          <w:sz w:val="20"/>
          <w:szCs w:val="20"/>
        </w:rPr>
        <w:t xml:space="preserve">Dos modelos out-of-the-box, ya en uso en la red aq.lemeit.ar desde 2023. Ambos publican datos abiertos, en tiempo real, sin necesidad de infraestructura adicional en la escuela más allá de energía y WiFi.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9B3D00"/>
          <w:sz w:val="22"/>
          <w:szCs w:val="22"/>
        </w:rPr>
        <w:t xml:space="preserve">PurpleAir Flex</w:t>
      </w:r>
    </w:p>
    <w:p>
      <w:pPr>
        <w:spacing w:after="120" w:before="60"/>
        <w:jc w:val="left"/>
      </w:pPr>
      <w:r>
        <w:drawing>
          <wp:inline distT="0" distB="0" distL="0" distR="0">
            <wp:extent cx="2667000" cy="1266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500"/>
      </w:tblGrid>
      <w:tr>
        <w:trPr>
          <w:cantSplit/>
        </w:trPr>
        <w:tc>
          <w:tcPr>
            <w:tcW w:type="dxa" w:w="23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0EBE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9B3D00"/>
                <w:sz w:val="19"/>
                <w:szCs w:val="19"/>
              </w:rPr>
              <w:t xml:space="preserve">Qué mide</w:t>
            </w:r>
          </w:p>
        </w:tc>
        <w:tc>
          <w:tcPr>
            <w:tcW w:type="dxa" w:w="65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0EBE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19"/>
                <w:szCs w:val="19"/>
              </w:rPr>
              <w:t xml:space="preserve">PM1.0, PM2.5, PM10, temperatura, humedad, presión e índice de compuestos orgánicos volátiles (COV)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9B3D00"/>
                <w:sz w:val="19"/>
                <w:szCs w:val="19"/>
              </w:rPr>
              <w:t xml:space="preserve">Sensor</w:t>
            </w:r>
          </w:p>
        </w:tc>
        <w:tc>
          <w:tcPr>
            <w:tcW w:type="dxa" w:w="65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19"/>
                <w:szCs w:val="19"/>
              </w:rPr>
              <w:t xml:space="preserve">2 láseres Plantower PMS-6003 (redundantes entre sí, reemplazables por el usuario)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0EBE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9B3D00"/>
                <w:sz w:val="19"/>
                <w:szCs w:val="19"/>
              </w:rPr>
              <w:t xml:space="preserve">Conectividad</w:t>
            </w:r>
          </w:p>
        </w:tc>
        <w:tc>
          <w:tcPr>
            <w:tcW w:type="dxa" w:w="65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0EBE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19"/>
                <w:szCs w:val="19"/>
              </w:rPr>
              <w:t xml:space="preserve">WiFi 2,4 GHz — sube los datos también al mapa público de PurpleAir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9B3D00"/>
                <w:sz w:val="19"/>
                <w:szCs w:val="19"/>
              </w:rPr>
              <w:t xml:space="preserve">Alimentación</w:t>
            </w:r>
          </w:p>
        </w:tc>
        <w:tc>
          <w:tcPr>
            <w:tcW w:type="dxa" w:w="65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19"/>
                <w:szCs w:val="19"/>
              </w:rPr>
              <w:t xml:space="preserve">Micro-USB, 5 V / 1 A (fuente de alimentación no incluida por el fabricante)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0EBE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9B3D00"/>
                <w:sz w:val="19"/>
                <w:szCs w:val="19"/>
              </w:rPr>
              <w:t xml:space="preserve">Gabinete</w:t>
            </w:r>
          </w:p>
        </w:tc>
        <w:tc>
          <w:tcPr>
            <w:tcW w:type="dxa" w:w="65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0EBE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19"/>
                <w:szCs w:val="19"/>
              </w:rPr>
              <w:t xml:space="preserve">Resistente a la intemperie, pensado para exterior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9B3D00"/>
                <w:sz w:val="19"/>
                <w:szCs w:val="19"/>
              </w:rPr>
              <w:t xml:space="preserve">Para Argentina</w:t>
            </w:r>
          </w:p>
        </w:tc>
        <w:tc>
          <w:tcPr>
            <w:tcW w:type="dxa" w:w="65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19"/>
                <w:szCs w:val="19"/>
              </w:rPr>
              <w:t xml:space="preserve">No hace falta importar el cargador que ofrece PurpleAir en su tienda: cualquier fuente USB de pared de 220 V que ya haya en la escuela sirve. Solo hace falta el cable micro-USB.</w:t>
            </w:r>
          </w:p>
        </w:tc>
      </w:tr>
    </w:tbl>
    <w:p>
      <w:pPr>
        <w:spacing w:after="60" w:before="60"/>
      </w:pPr>
      <w:r>
        <w:rPr>
          <w:rFonts w:ascii="Calibri" w:cs="Calibri" w:eastAsia="Calibri" w:hAnsi="Calibri"/>
          <w:b/>
          <w:bCs/>
          <w:color w:val="9B3D00"/>
          <w:sz w:val="22"/>
          <w:szCs w:val="22"/>
        </w:rPr>
        <w:t xml:space="preserve">AirGradient Open Air (Modelo O-1PST)</w:t>
      </w:r>
    </w:p>
    <w:p>
      <w:pPr>
        <w:spacing w:after="120" w:before="160"/>
        <w:jc w:val="left"/>
      </w:pPr>
      <w:r>
        <w:drawing>
          <wp:inline distT="0" distB="0" distL="0" distR="0">
            <wp:extent cx="2667000" cy="1266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500"/>
      </w:tblGrid>
      <w:tr>
        <w:trPr>
          <w:cantSplit/>
        </w:trPr>
        <w:tc>
          <w:tcPr>
            <w:tcW w:type="dxa" w:w="23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0EBE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9B3D00"/>
                <w:sz w:val="19"/>
                <w:szCs w:val="19"/>
              </w:rPr>
              <w:t xml:space="preserve">Qué mide</w:t>
            </w:r>
          </w:p>
        </w:tc>
        <w:tc>
          <w:tcPr>
            <w:tcW w:type="dxa" w:w="65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0EBE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19"/>
                <w:szCs w:val="19"/>
              </w:rPr>
              <w:t xml:space="preserve">PM1.0/PM2.5/PM10, CO₂, compuestos orgánicos volátiles (COV) y NOx, temperatura y humedad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9B3D00"/>
                <w:sz w:val="19"/>
                <w:szCs w:val="19"/>
              </w:rPr>
              <w:t xml:space="preserve">Sensores</w:t>
            </w:r>
          </w:p>
        </w:tc>
        <w:tc>
          <w:tcPr>
            <w:tcW w:type="dxa" w:w="65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19"/>
                <w:szCs w:val="19"/>
              </w:rPr>
              <w:t xml:space="preserve">Plantower PMS5003T (partículas) · SenseAir S8, NDIR (CO₂) · Sensirion SGP41 (COV/NOx)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0EBE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9B3D00"/>
                <w:sz w:val="19"/>
                <w:szCs w:val="19"/>
              </w:rPr>
              <w:t xml:space="preserve">Microcontrolador</w:t>
            </w:r>
          </w:p>
        </w:tc>
        <w:tc>
          <w:tcPr>
            <w:tcW w:type="dxa" w:w="65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0EBE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19"/>
                <w:szCs w:val="19"/>
              </w:rPr>
              <w:t xml:space="preserve">ESP32-C3-MINI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9B3D00"/>
                <w:sz w:val="19"/>
                <w:szCs w:val="19"/>
              </w:rPr>
              <w:t xml:space="preserve">Conectividad</w:t>
            </w:r>
          </w:p>
        </w:tc>
        <w:tc>
          <w:tcPr>
            <w:tcW w:type="dxa" w:w="65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19"/>
                <w:szCs w:val="19"/>
              </w:rPr>
              <w:t xml:space="preserve">WiFi 2,4 GHz (existe también una versión con conectividad celular 4G)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0EBE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9B3D00"/>
                <w:sz w:val="19"/>
                <w:szCs w:val="19"/>
              </w:rPr>
              <w:t xml:space="preserve">Alimentación</w:t>
            </w:r>
          </w:p>
        </w:tc>
        <w:tc>
          <w:tcPr>
            <w:tcW w:type="dxa" w:w="65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0EBE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19"/>
                <w:szCs w:val="19"/>
              </w:rPr>
              <w:t xml:space="preserve">USB-C, con cable de 4 m incluido — 5 V / 2 A (fuente de alimentación no incluida)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9B3D00"/>
                <w:sz w:val="19"/>
                <w:szCs w:val="19"/>
              </w:rPr>
              <w:t xml:space="preserve">Gabinete</w:t>
            </w:r>
          </w:p>
        </w:tc>
        <w:tc>
          <w:tcPr>
            <w:tcW w:type="dxa" w:w="65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19"/>
                <w:szCs w:val="19"/>
              </w:rPr>
              <w:t xml:space="preserve">Plástico ASA, resistente a rayos UV e intemperie — montaje en pared o poste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0EBE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9B3D00"/>
                <w:sz w:val="19"/>
                <w:szCs w:val="19"/>
              </w:rPr>
              <w:t xml:space="preserve">Certificaciones</w:t>
            </w:r>
          </w:p>
        </w:tc>
        <w:tc>
          <w:tcPr>
            <w:tcW w:type="dxa" w:w="65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0EBE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19"/>
                <w:szCs w:val="19"/>
              </w:rPr>
              <w:t xml:space="preserve">CE, RoHS, REACH, FCC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9B3D00"/>
                <w:sz w:val="19"/>
                <w:szCs w:val="19"/>
              </w:rPr>
              <w:t xml:space="preserve">Licencia</w:t>
            </w:r>
          </w:p>
        </w:tc>
        <w:tc>
          <w:tcPr>
            <w:tcW w:type="dxa" w:w="65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19"/>
                <w:szCs w:val="19"/>
              </w:rPr>
              <w:t xml:space="preserve">Hardware abierto (CC-BY-SA), código fuente disponible — proyecto de AirGradient (Chiang Mai, Tailandia)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0EBE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9B3D00"/>
                <w:sz w:val="19"/>
                <w:szCs w:val="19"/>
              </w:rPr>
              <w:t xml:space="preserve">Para Argentina</w:t>
            </w:r>
          </w:p>
        </w:tc>
        <w:tc>
          <w:tcPr>
            <w:tcW w:type="dxa" w:w="6500"/>
            <w:tcBorders>
              <w:top w:val="single" w:color="D8CFC2" w:sz="4"/>
              <w:left w:val="single" w:color="D8CFC2" w:sz="4"/>
              <w:bottom w:val="single" w:color="D8CFC2" w:sz="4"/>
              <w:right w:val="single" w:color="D8CFC2" w:sz="4"/>
            </w:tcBorders>
            <w:shd w:fill="F0EBE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19"/>
                <w:szCs w:val="19"/>
              </w:rPr>
              <w:t xml:space="preserve">Mismo criterio que el PurpleAir: no requiere importar nada adicional, un cargador USB estándar de 220 V ya alcanza.</w:t>
            </w:r>
          </w:p>
        </w:tc>
      </w:tr>
    </w:tbl>
    <w:p>
      <w:pPr>
        <w:spacing w:after="100" w:before="220"/>
      </w:pPr>
      <w:r>
        <w:rPr>
          <w:rFonts w:ascii="Calibri" w:cs="Calibri" w:eastAsia="Calibri" w:hAnsi="Calibri"/>
          <w:b/>
          <w:bCs/>
          <w:color w:val="9B3D00"/>
          <w:sz w:val="28"/>
          <w:szCs w:val="28"/>
        </w:rPr>
        <w:t xml:space="preserve">2. Qué necesitamos de cada institución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200"/>
      </w:tblGrid>
      <w:tr>
        <w:trPr>
          <w:tblHeader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9B3D0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SE NECESITA</w:t>
            </w:r>
          </w:p>
        </w:tc>
        <w:tc>
          <w:tcPr>
            <w:tcW w:type="dxa" w:w="6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9B3D0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0EBE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A1D12"/>
                <w:sz w:val="20"/>
                <w:szCs w:val="20"/>
              </w:rPr>
              <w:t xml:space="preserve">Ubicación para el sensor</w:t>
            </w:r>
          </w:p>
        </w:tc>
        <w:tc>
          <w:tcPr>
            <w:tcW w:type="dxa" w:w="6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0EBE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20"/>
                <w:szCs w:val="20"/>
              </w:rPr>
              <w:t xml:space="preserve">Un punto exterior con buena exposición al aire, protegido de lluvia directa (alero o similar) — típicamente sobre un muro o baranda, a 2–4 m de altura. Se define junto al referente de la institución durante la visita de relevamiento.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A1D12"/>
                <w:sz w:val="20"/>
                <w:szCs w:val="20"/>
              </w:rPr>
              <w:t xml:space="preserve">Energía</w:t>
            </w:r>
          </w:p>
        </w:tc>
        <w:tc>
          <w:tcPr>
            <w:tcW w:type="dxa" w:w="6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20"/>
                <w:szCs w:val="20"/>
              </w:rPr>
              <w:t xml:space="preserve">Un tomacorriente a alcance del cable de alimentación del sensor (o la posibilidad de extenderlo). El consumo es bajo, comparable al de un router hogareño.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0EBE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A1D12"/>
                <w:sz w:val="20"/>
                <w:szCs w:val="20"/>
              </w:rPr>
              <w:t xml:space="preserve">Conectividad</w:t>
            </w:r>
          </w:p>
        </w:tc>
        <w:tc>
          <w:tcPr>
            <w:tcW w:type="dxa" w:w="6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0EBE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20"/>
                <w:szCs w:val="20"/>
              </w:rPr>
              <w:t xml:space="preserve">Acceso a la red WiFi de la institución, en la banda de 2,4 GHz (SSID y contraseña) — no funciona en redes exclusivamente de 5 GHz. Si no es posible, se evalúa una alternativa por datos móviles caso por caso.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A1D12"/>
                <w:sz w:val="20"/>
                <w:szCs w:val="20"/>
              </w:rPr>
              <w:t xml:space="preserve">Referente institucional</w:t>
            </w:r>
          </w:p>
        </w:tc>
        <w:tc>
          <w:tcPr>
            <w:tcW w:type="dxa" w:w="6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20"/>
                <w:szCs w:val="20"/>
              </w:rPr>
              <w:t xml:space="preserve">Una persona del equipo directivo o docente que autorice el acceso el día de la instalación y actúe como enlace del proyecto dentro de la escuela.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0EBE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A1D12"/>
                <w:sz w:val="20"/>
                <w:szCs w:val="20"/>
              </w:rPr>
              <w:t xml:space="preserve">Autorización de instalación</w:t>
            </w:r>
          </w:p>
        </w:tc>
        <w:tc>
          <w:tcPr>
            <w:tcW w:type="dxa" w:w="6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0EBE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A1D12"/>
                <w:sz w:val="20"/>
                <w:szCs w:val="20"/>
              </w:rPr>
              <w:t xml:space="preserve">Conformidad formal de la institución para el montaje del equipo en el lugar acordado — puede resolverse en la misma reunión del 16/9 o por nota posterior.</w:t>
            </w:r>
          </w:p>
        </w:tc>
      </w:tr>
    </w:tbl>
    <w:p>
      <w:pPr>
        <w:pBdr>
          <w:top w:val="single" w:color="D8CFC2" w:sz="4"/>
        </w:pBdr>
        <w:spacing w:before="260"/>
      </w:pPr>
      <w:r>
        <w:rPr>
          <w:rFonts w:ascii="Calibri" w:cs="Calibri" w:eastAsia="Calibri" w:hAnsi="Calibri"/>
          <w:i/>
          <w:iCs/>
          <w:color w:val="6B5D4F"/>
          <w:sz w:val="16"/>
          <w:szCs w:val="16"/>
        </w:rPr>
        <w:t xml:space="preserve">Documento de trabajo — hoja de especificaciones y requerimientos para la reunión del 16/9/2026. Fuentes: fichas técnicas de PurpleAir y AirGradient (fabricantes). Consultas: lucianolamaita@gmail.com · profe.lemeit.ar · aq.lemeit.ar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19fe48666cfa0052396cbd2a5ab745b9878ccdb.jpg"/><Relationship Id="rId8" Type="http://schemas.openxmlformats.org/officeDocument/2006/relationships/image" Target="media/ca1830f7cdbb73bcd2c11173ad5008c657e605ee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2026-09-16T10:36:47.684Z</dcterms:created>
  <dcterms:modified xsi:type="dcterms:W3CDTF">2026-09-16T10:36:47.695Z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