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2FC18" w14:textId="77777777" w:rsidR="00193B27" w:rsidRDefault="00193B27">
      <w:pPr>
        <w:spacing w:before="1200"/>
        <w:jc w:val="center"/>
        <w:rPr>
          <w:b/>
          <w:bCs/>
          <w:color w:val="1E6B4F"/>
          <w:spacing w:val="20"/>
        </w:rPr>
      </w:pPr>
    </w:p>
    <w:p w14:paraId="7B32D802" w14:textId="2C3DF485" w:rsidR="00D163C6" w:rsidRDefault="00000000">
      <w:pPr>
        <w:spacing w:before="1200"/>
        <w:jc w:val="center"/>
      </w:pPr>
      <w:r>
        <w:rPr>
          <w:b/>
          <w:bCs/>
          <w:color w:val="1E6B4F"/>
          <w:spacing w:val="20"/>
        </w:rPr>
        <w:t>INSTITUT AGRONOMIQUE ET VÉTÉRINAIRE HASSAN II</w:t>
      </w:r>
    </w:p>
    <w:p w14:paraId="6895B917" w14:textId="77777777" w:rsidR="00D163C6" w:rsidRDefault="00000000">
      <w:pPr>
        <w:spacing w:after="480"/>
        <w:jc w:val="center"/>
      </w:pPr>
      <w:proofErr w:type="spellStart"/>
      <w:r>
        <w:rPr>
          <w:color w:val="595959"/>
          <w:sz w:val="20"/>
          <w:szCs w:val="20"/>
        </w:rPr>
        <w:t>GéoPortail</w:t>
      </w:r>
      <w:proofErr w:type="spellEnd"/>
      <w:r>
        <w:rPr>
          <w:color w:val="595959"/>
          <w:sz w:val="20"/>
          <w:szCs w:val="20"/>
        </w:rPr>
        <w:t xml:space="preserve"> </w:t>
      </w:r>
      <w:proofErr w:type="spellStart"/>
      <w:r>
        <w:rPr>
          <w:color w:val="595959"/>
          <w:sz w:val="20"/>
          <w:szCs w:val="20"/>
        </w:rPr>
        <w:t>AgriBioTech</w:t>
      </w:r>
      <w:proofErr w:type="spellEnd"/>
      <w:r>
        <w:rPr>
          <w:color w:val="595959"/>
          <w:sz w:val="20"/>
          <w:szCs w:val="20"/>
        </w:rPr>
        <w:t xml:space="preserve">  •  Jumeau numérique de la serre</w:t>
      </w:r>
    </w:p>
    <w:p w14:paraId="52EA84A4" w14:textId="77777777" w:rsidR="00D163C6" w:rsidRDefault="00D163C6">
      <w:pPr>
        <w:pBdr>
          <w:bottom w:val="single" w:sz="12" w:space="6" w:color="2E8B62"/>
        </w:pBdr>
        <w:spacing w:after="240"/>
      </w:pPr>
    </w:p>
    <w:p w14:paraId="7E2DA54B" w14:textId="77777777" w:rsidR="00193B27" w:rsidRDefault="00193B27">
      <w:pPr>
        <w:pBdr>
          <w:bottom w:val="single" w:sz="12" w:space="6" w:color="2E8B62"/>
        </w:pBdr>
        <w:spacing w:after="240"/>
      </w:pPr>
    </w:p>
    <w:p w14:paraId="62BFDA81" w14:textId="77777777" w:rsidR="00193B27" w:rsidRDefault="00193B27">
      <w:pPr>
        <w:pBdr>
          <w:bottom w:val="single" w:sz="12" w:space="6" w:color="2E8B62"/>
        </w:pBdr>
        <w:spacing w:after="240"/>
      </w:pPr>
    </w:p>
    <w:p w14:paraId="1384F9EC" w14:textId="77777777" w:rsidR="00193B27" w:rsidRDefault="00193B27">
      <w:pPr>
        <w:pBdr>
          <w:bottom w:val="single" w:sz="12" w:space="6" w:color="2E8B62"/>
        </w:pBdr>
        <w:spacing w:after="240"/>
      </w:pPr>
    </w:p>
    <w:p w14:paraId="6544CC2A" w14:textId="77777777" w:rsidR="00193B27" w:rsidRDefault="00193B27">
      <w:pPr>
        <w:pBdr>
          <w:bottom w:val="single" w:sz="12" w:space="6" w:color="2E8B62"/>
        </w:pBdr>
        <w:spacing w:after="240"/>
      </w:pPr>
    </w:p>
    <w:p w14:paraId="09EF66E4" w14:textId="7413DFEE" w:rsidR="00D163C6" w:rsidRDefault="00000000">
      <w:pPr>
        <w:spacing w:before="240" w:after="120"/>
        <w:jc w:val="center"/>
      </w:pPr>
      <w:r>
        <w:rPr>
          <w:b/>
          <w:bCs/>
          <w:color w:val="27323A"/>
          <w:sz w:val="52"/>
          <w:szCs w:val="52"/>
        </w:rPr>
        <w:t>Serre High-Tech</w:t>
      </w:r>
    </w:p>
    <w:p w14:paraId="159D3AE8" w14:textId="77777777" w:rsidR="00D163C6" w:rsidRDefault="00D163C6">
      <w:pPr>
        <w:pBdr>
          <w:top w:val="single" w:sz="12" w:space="6" w:color="2E8B62"/>
        </w:pBdr>
        <w:spacing w:before="240" w:after="600"/>
      </w:pPr>
    </w:p>
    <w:p w14:paraId="1B221A77" w14:textId="54DF0611" w:rsidR="00D163C6" w:rsidRDefault="00D163C6"/>
    <w:p w14:paraId="065E0400" w14:textId="77777777" w:rsidR="00D163C6" w:rsidRDefault="00000000">
      <w:r>
        <w:br w:type="page"/>
      </w:r>
    </w:p>
    <w:p w14:paraId="5FCC3363" w14:textId="77777777" w:rsidR="00D163C6" w:rsidRDefault="00000000">
      <w:pPr>
        <w:pStyle w:val="Titre1"/>
      </w:pPr>
      <w:bookmarkStart w:id="0" w:name="_Toc231541347"/>
      <w:r>
        <w:lastRenderedPageBreak/>
        <w:t>1.  Avant-propos</w:t>
      </w:r>
      <w:bookmarkEnd w:id="0"/>
    </w:p>
    <w:p w14:paraId="37DC506E" w14:textId="1E2E31B9" w:rsidR="00D163C6" w:rsidRDefault="00000000" w:rsidP="00B767FA">
      <w:pPr>
        <w:spacing w:after="140" w:line="276" w:lineRule="auto"/>
        <w:jc w:val="both"/>
      </w:pPr>
      <w:r>
        <w:t xml:space="preserve">Ce document </w:t>
      </w:r>
      <w:r w:rsidR="00193B27">
        <w:t>est</w:t>
      </w:r>
      <w:r>
        <w:t xml:space="preserve"> conçu pour accompagner la visite guidée virtuelle en trois dimensions de l’unité horticole de la serre High-Tech de l’IAV Hassan II, intégrée au </w:t>
      </w:r>
      <w:proofErr w:type="spellStart"/>
      <w:r>
        <w:t>GéoPortail</w:t>
      </w:r>
      <w:proofErr w:type="spellEnd"/>
      <w:r>
        <w:t xml:space="preserve"> </w:t>
      </w:r>
      <w:proofErr w:type="spellStart"/>
      <w:r>
        <w:t>AgriBioTech</w:t>
      </w:r>
      <w:proofErr w:type="spellEnd"/>
      <w:r>
        <w:t xml:space="preserve">. </w:t>
      </w:r>
    </w:p>
    <w:p w14:paraId="1A066248" w14:textId="79DBEC9B" w:rsidR="00D163C6" w:rsidRDefault="00000000">
      <w:pPr>
        <w:spacing w:after="140" w:line="276" w:lineRule="auto"/>
        <w:jc w:val="both"/>
      </w:pPr>
      <w:r>
        <w:t>La serre High-Tech n’est pas un simple lieu de culture. C’est un instrument scientifique. Chaque facteur de production — température, humidité,</w:t>
      </w:r>
      <w:r w:rsidR="00B767FA">
        <w:t xml:space="preserve"> CO</w:t>
      </w:r>
      <w:r w:rsidR="00B767FA" w:rsidRPr="00B767FA">
        <w:rPr>
          <w:vertAlign w:val="subscript"/>
        </w:rPr>
        <w:t>2</w:t>
      </w:r>
      <w:r w:rsidR="00B767FA">
        <w:t>,</w:t>
      </w:r>
      <w:r>
        <w:t xml:space="preserve"> lumière, eau, nutrition minérale, atmosphère — y est mesuré, piloté et reproductible. Cette maîtrise transforme la serre en un véritable laboratoire vivant, où l’on peut isoler une variable, formuler une hypothèse et la tester en conditions contrôlées. C’est précisément cette dimension que le jumeau numérique cherche à restituer et à valoriser auprès des étudiants, des chercheurs et des partenaires.</w:t>
      </w:r>
    </w:p>
    <w:p w14:paraId="3E6927D2" w14:textId="3914308B" w:rsidR="00D163C6" w:rsidRDefault="00F97D29" w:rsidP="00B767FA">
      <w:pPr>
        <w:pStyle w:val="Titre1"/>
        <w:jc w:val="both"/>
      </w:pPr>
      <w:bookmarkStart w:id="1" w:name="_Toc231541349"/>
      <w:r>
        <w:t>2</w:t>
      </w:r>
      <w:r w:rsidR="00000000">
        <w:t>.  Le contexte scientifique : l’agriculture en environnement contrôlé</w:t>
      </w:r>
      <w:bookmarkEnd w:id="1"/>
    </w:p>
    <w:p w14:paraId="632989B7" w14:textId="77777777" w:rsidR="00D163C6" w:rsidRDefault="00000000">
      <w:pPr>
        <w:spacing w:after="140" w:line="276" w:lineRule="auto"/>
        <w:jc w:val="both"/>
      </w:pPr>
      <w:r>
        <w:t>L’agriculture en environnement contrôlé (</w:t>
      </w:r>
      <w:proofErr w:type="spellStart"/>
      <w:r>
        <w:t>Controlled</w:t>
      </w:r>
      <w:proofErr w:type="spellEnd"/>
      <w:r>
        <w:t xml:space="preserve"> </w:t>
      </w:r>
      <w:proofErr w:type="spellStart"/>
      <w:r>
        <w:t>Environment</w:t>
      </w:r>
      <w:proofErr w:type="spellEnd"/>
      <w:r>
        <w:t xml:space="preserve"> Agriculture, CEA) repose sur un principe simple : plus l’on maîtrise le climat et la nutrition, plus la performance de la culture devient prévisible, régulière et efficiente. En contexte méditerranéen et semi-aride, cette approche répond à trois enjeux majeurs : la rareté de l’eau, les fortes amplitudes thermiques et la nécessité de produire en quantité et en qualité de façon constante.</w:t>
      </w:r>
    </w:p>
    <w:p w14:paraId="56BE7EB8" w14:textId="6075304A" w:rsidR="0024420E" w:rsidRDefault="0024420E" w:rsidP="0024420E">
      <w:pPr>
        <w:spacing w:after="140" w:line="276" w:lineRule="auto"/>
        <w:jc w:val="both"/>
      </w:pPr>
      <w:bookmarkStart w:id="2" w:name="_Toc231541350"/>
      <w:r w:rsidRPr="0024420E">
        <w:t xml:space="preserve">La photosynthèse, la transpiration et l'absorption minérale sont des processus fondamentaux de la croissance et du développement des plantes ; or, ils dépendent étroitement d'un ensemble de paramètres physiques que la serre permet précisément de piloter : la température de l'air et de la zone racinaire, l'humidité relative — et, plus </w:t>
      </w:r>
      <w:r>
        <w:t>précisément</w:t>
      </w:r>
      <w:r w:rsidRPr="0024420E">
        <w:t>, le déficit de pression de vapeur (VPD) —, la concentration en CO</w:t>
      </w:r>
      <w:r w:rsidRPr="0024420E">
        <w:rPr>
          <w:rFonts w:ascii="Cambria Math" w:hAnsi="Cambria Math" w:cs="Cambria Math"/>
        </w:rPr>
        <w:t>₂</w:t>
      </w:r>
      <w:r w:rsidRPr="0024420E">
        <w:t>, le rayonnement incident, ainsi que le pH et la conductivité électrique de la solution nutritive. L'ensemble des équipements présentés dans la suite de ce rapport vise à maintenir chacun de ces paramètres dans la plage optimale propre à chaque culture et à chaque stade de développement.</w:t>
      </w:r>
    </w:p>
    <w:p w14:paraId="3BDC7FC1" w14:textId="77777777" w:rsidR="0024420E" w:rsidRPr="0024420E" w:rsidRDefault="0024420E" w:rsidP="0024420E">
      <w:pPr>
        <w:spacing w:after="140" w:line="276" w:lineRule="auto"/>
        <w:jc w:val="both"/>
      </w:pPr>
    </w:p>
    <w:bookmarkEnd w:id="2"/>
    <w:p w14:paraId="63A15056" w14:textId="77777777" w:rsidR="00D163C6" w:rsidRDefault="00000000">
      <w:r>
        <w:br w:type="page"/>
      </w:r>
    </w:p>
    <w:p w14:paraId="3E93EAE7" w14:textId="7CB60EF5" w:rsidR="00D163C6" w:rsidRDefault="00F97D29">
      <w:pPr>
        <w:pStyle w:val="Titre1"/>
      </w:pPr>
      <w:bookmarkStart w:id="3" w:name="_Toc231541351"/>
      <w:r>
        <w:lastRenderedPageBreak/>
        <w:t>3</w:t>
      </w:r>
      <w:r w:rsidR="00000000">
        <w:t xml:space="preserve">.  </w:t>
      </w:r>
      <w:bookmarkEnd w:id="3"/>
      <w:r w:rsidR="0024420E">
        <w:t>Les différentes composantes d</w:t>
      </w:r>
      <w:r w:rsidR="00102DD7">
        <w:t>e l’unité horticole</w:t>
      </w:r>
    </w:p>
    <w:p w14:paraId="2C3C55B6" w14:textId="6973CBCF" w:rsidR="00D163C6" w:rsidRDefault="00000000" w:rsidP="0024420E">
      <w:pPr>
        <w:spacing w:after="140" w:line="276" w:lineRule="auto"/>
        <w:jc w:val="both"/>
      </w:pPr>
      <w:r>
        <w:t>La structure abrite l’ensemble des équipements de contrôle climatique et de fertigation.</w:t>
      </w:r>
      <w:r w:rsidR="0024420E">
        <w:t xml:space="preserve"> L</w:t>
      </w:r>
      <w:r>
        <w:t>’enveloppe de la serre crée un microclimat distinct de l’environnement extérieur. C’est la condition première du pilotage : on ne peut contrôler que ce que l’on a d’abord isolé. La conception de la structure conditionne la lumière transmise, l’étanchéité et la capacité de régulation thermique.</w:t>
      </w:r>
    </w:p>
    <w:p w14:paraId="35C2BA2B" w14:textId="6436A218" w:rsidR="00D163C6" w:rsidRDefault="0024420E">
      <w:pPr>
        <w:pStyle w:val="Titre2"/>
      </w:pPr>
      <w:bookmarkStart w:id="4" w:name="_Toc231541353"/>
      <w:r>
        <w:t xml:space="preserve">La </w:t>
      </w:r>
      <w:r w:rsidR="00000000">
        <w:t>ventilation</w:t>
      </w:r>
      <w:bookmarkEnd w:id="4"/>
      <w:r>
        <w:t xml:space="preserve"> naturelle : </w:t>
      </w:r>
    </w:p>
    <w:p w14:paraId="4A7676F5" w14:textId="4FC5E576" w:rsidR="0024420E" w:rsidRDefault="00000000" w:rsidP="0024420E">
      <w:pPr>
        <w:spacing w:after="140" w:line="276" w:lineRule="auto"/>
        <w:jc w:val="both"/>
      </w:pPr>
      <w:r>
        <w:t>Le système de ventilation assure le renouvellement de l’air à l’intérieur de la serre afin de maintenir des conditions climatiques favorables à la croissance des cultures.</w:t>
      </w:r>
      <w:r w:rsidR="0024420E">
        <w:t xml:space="preserve"> </w:t>
      </w:r>
      <w:r w:rsidR="0024420E">
        <w:t>Il repose sur des toits ouvrants qui, en s'ouvrant, laissent entrer l'air extérieur et évacuer l'air chaud et humide accumulé sous la couverture. Le renouvellement s'opère ainsi naturellement</w:t>
      </w:r>
      <w:r w:rsidR="00EB0355">
        <w:t xml:space="preserve"> </w:t>
      </w:r>
      <w:r w:rsidR="0024420E">
        <w:t>sans recours à une ventilation mécanique.</w:t>
      </w:r>
    </w:p>
    <w:p w14:paraId="0A6CE0A6" w14:textId="1819FE88" w:rsidR="00D163C6" w:rsidRDefault="0024420E" w:rsidP="0024420E">
      <w:pPr>
        <w:spacing w:after="140" w:line="276" w:lineRule="auto"/>
        <w:jc w:val="both"/>
      </w:pPr>
      <w:r>
        <w:t>L'ouverture et la fermeture de ces fenêtres de ventilation sont automatisées : elles sont commandées en fonction des paramètres relevés en continu par la station météorologique (température, humidité</w:t>
      </w:r>
      <w:r w:rsidR="00EB0355">
        <w:t xml:space="preserve"> relative</w:t>
      </w:r>
      <w:r>
        <w:t>, vitesse et direction du vent, précipitations), de manière à maintenir le climat de la serre dans la plage souhaitée tout en protégeant les cultures des conditions extérieures défavorables.</w:t>
      </w:r>
    </w:p>
    <w:p w14:paraId="0DF2F415" w14:textId="77777777" w:rsidR="00D163C6" w:rsidRDefault="00000000">
      <w:pPr>
        <w:spacing w:after="140" w:line="276" w:lineRule="auto"/>
        <w:jc w:val="both"/>
      </w:pPr>
      <w:r>
        <w:t>Ses fonctions principales sont :</w:t>
      </w:r>
    </w:p>
    <w:p w14:paraId="3C8A90D0" w14:textId="77777777" w:rsidR="00D163C6" w:rsidRDefault="00000000">
      <w:pPr>
        <w:pStyle w:val="Paragraphedeliste"/>
        <w:numPr>
          <w:ilvl w:val="0"/>
          <w:numId w:val="2"/>
        </w:numPr>
        <w:spacing w:after="60" w:line="264" w:lineRule="auto"/>
        <w:jc w:val="both"/>
      </w:pPr>
      <w:r>
        <w:t>réguler la température et l’humidité relative ;</w:t>
      </w:r>
    </w:p>
    <w:p w14:paraId="2AE24478" w14:textId="77777777" w:rsidR="00D163C6" w:rsidRDefault="00000000">
      <w:pPr>
        <w:pStyle w:val="Paragraphedeliste"/>
        <w:numPr>
          <w:ilvl w:val="0"/>
          <w:numId w:val="2"/>
        </w:numPr>
        <w:spacing w:after="60" w:line="264" w:lineRule="auto"/>
        <w:jc w:val="both"/>
      </w:pPr>
      <w:r>
        <w:t>réduire les risques de maladies liées à une humidité excessive ;</w:t>
      </w:r>
    </w:p>
    <w:p w14:paraId="45697F51" w14:textId="77777777" w:rsidR="00D163C6" w:rsidRDefault="00000000">
      <w:pPr>
        <w:pStyle w:val="Paragraphedeliste"/>
        <w:numPr>
          <w:ilvl w:val="0"/>
          <w:numId w:val="2"/>
        </w:numPr>
        <w:spacing w:after="60" w:line="264" w:lineRule="auto"/>
        <w:jc w:val="both"/>
      </w:pPr>
      <w:r>
        <w:t>assurer une bonne circulation de l’air autour des plantes ;</w:t>
      </w:r>
    </w:p>
    <w:p w14:paraId="7B462A74" w14:textId="77777777" w:rsidR="00D163C6" w:rsidRDefault="00000000">
      <w:pPr>
        <w:pStyle w:val="Paragraphedeliste"/>
        <w:numPr>
          <w:ilvl w:val="0"/>
          <w:numId w:val="2"/>
        </w:numPr>
        <w:spacing w:after="60" w:line="264" w:lineRule="auto"/>
        <w:jc w:val="both"/>
      </w:pPr>
      <w:r>
        <w:t>favoriser les échanges gazeux nécessaires à la photosynthèse.</w:t>
      </w:r>
    </w:p>
    <w:p w14:paraId="4DD790C9" w14:textId="71D3B399" w:rsidR="00D163C6" w:rsidRDefault="0024420E">
      <w:pPr>
        <w:spacing w:after="140" w:line="276" w:lineRule="auto"/>
        <w:jc w:val="both"/>
      </w:pPr>
      <w:r>
        <w:rPr>
          <w:b/>
          <w:bCs/>
          <w:color w:val="1E6B4F"/>
        </w:rPr>
        <w:t>L</w:t>
      </w:r>
      <w:r w:rsidR="00000000">
        <w:t>e renouvellement de l’air remplit deux rôles agronomiques essentiels. D’une part, il réapprovisionne l’atmosphère en dioxyde de carbone, substrat indispensable de la photosynthèse, qui s’appauvrit autour des feuilles en culture dense. D’autre part, le brassage de l’air réduit la couche limite à la surface des feuilles, favorisant la transpiration, l’absorption des éléments minéraux et l’assèchement du feuillage — ce dernier point limitant fortement le développement de pathogènes fongiques tels que Botrytis ou les agents de mildiou, qui prospèrent en atmosphère confinée et humide.</w:t>
      </w:r>
    </w:p>
    <w:p w14:paraId="063D83E5" w14:textId="73EB2D8D" w:rsidR="00D163C6" w:rsidRDefault="00EB0355">
      <w:pPr>
        <w:pStyle w:val="Titre2"/>
      </w:pPr>
      <w:bookmarkStart w:id="5" w:name="_Toc231541354"/>
      <w:r>
        <w:t>Le s</w:t>
      </w:r>
      <w:r w:rsidR="00000000">
        <w:t>ystème de refroidissement</w:t>
      </w:r>
      <w:bookmarkEnd w:id="5"/>
    </w:p>
    <w:p w14:paraId="00F9AC88" w14:textId="7514D85F" w:rsidR="00D163C6" w:rsidRPr="00AB5A92" w:rsidRDefault="00000000">
      <w:pPr>
        <w:spacing w:after="140" w:line="276" w:lineRule="auto"/>
        <w:jc w:val="both"/>
      </w:pPr>
      <w:r w:rsidRPr="00AB5A92">
        <w:t xml:space="preserve">Le système de refroidissement limite l’élévation excessive de la température durant les périodes chaudes — un enjeu déterminant sous climat marocain. </w:t>
      </w:r>
      <w:r w:rsidR="00EB0355" w:rsidRPr="00AB5A92">
        <w:t>I</w:t>
      </w:r>
      <w:r w:rsidRPr="00AB5A92">
        <w:t>l reposer sur :</w:t>
      </w:r>
    </w:p>
    <w:p w14:paraId="01B4B884" w14:textId="2D57FD59" w:rsidR="00D163C6" w:rsidRPr="00AB5A92" w:rsidRDefault="00000000" w:rsidP="00AB5A92">
      <w:pPr>
        <w:spacing w:after="140" w:line="276" w:lineRule="auto"/>
        <w:jc w:val="both"/>
      </w:pPr>
      <w:r w:rsidRPr="00AB5A92">
        <w:t>un système de refroidissement adiabatique</w:t>
      </w:r>
      <w:r w:rsidR="00EB0355" w:rsidRPr="00AB5A92">
        <w:t xml:space="preserve"> : </w:t>
      </w:r>
      <w:r w:rsidRPr="00AB5A92">
        <w:t xml:space="preserve">le </w:t>
      </w:r>
      <w:r w:rsidR="00EB0355" w:rsidRPr="00AB5A92">
        <w:t>principe repose sur l’</w:t>
      </w:r>
      <w:r w:rsidRPr="00AB5A92">
        <w:t>évaporation</w:t>
      </w:r>
      <w:r w:rsidR="00EB0355" w:rsidRPr="00AB5A92">
        <w:t xml:space="preserve"> de l’eau</w:t>
      </w:r>
      <w:r w:rsidRPr="00AB5A92">
        <w:t xml:space="preserve">, </w:t>
      </w:r>
      <w:r w:rsidR="00EB0355" w:rsidRPr="00AB5A92">
        <w:t>pour passer de l'état liquide à l'état de vapeur, l'eau prélève de la chaleur dans l'air ambiant, qui se trouve ainsi rafraîchi. En diffusant une fine humidité dans l'air entrant ou circulant, le système abaisse la température tout en relevant l'humidité relative.</w:t>
      </w:r>
    </w:p>
    <w:p w14:paraId="6BE7CAD2" w14:textId="77777777" w:rsidR="00EB0355" w:rsidRDefault="00EB0355" w:rsidP="00EB0355">
      <w:pPr>
        <w:pStyle w:val="Paragraphedeliste"/>
        <w:spacing w:after="60" w:line="264" w:lineRule="auto"/>
        <w:ind w:left="600"/>
        <w:jc w:val="both"/>
      </w:pPr>
    </w:p>
    <w:p w14:paraId="5C33A4A6" w14:textId="3F73C70B" w:rsidR="00AB5A92" w:rsidRDefault="00AB5A92" w:rsidP="00AB5A92">
      <w:pPr>
        <w:pStyle w:val="Titre2"/>
      </w:pPr>
      <w:bookmarkStart w:id="6" w:name="_Toc231541355"/>
      <w:bookmarkStart w:id="7" w:name="_Toc231541356"/>
      <w:r>
        <w:lastRenderedPageBreak/>
        <w:t>Le s</w:t>
      </w:r>
      <w:r>
        <w:t>ystème de brumisation</w:t>
      </w:r>
      <w:bookmarkEnd w:id="7"/>
    </w:p>
    <w:p w14:paraId="4440489A" w14:textId="77777777" w:rsidR="00AB5A92" w:rsidRDefault="00AB5A92" w:rsidP="00AB5A92">
      <w:pPr>
        <w:spacing w:after="140" w:line="276" w:lineRule="auto"/>
        <w:jc w:val="both"/>
      </w:pPr>
      <w:r>
        <w:t>Le système de brumisation diffuse de fines gouttelettes d’eau dans l’atmosphère de la serre. Il est utilisé pour :</w:t>
      </w:r>
    </w:p>
    <w:p w14:paraId="712E13AF" w14:textId="77777777" w:rsidR="00AB5A92" w:rsidRDefault="00AB5A92" w:rsidP="00AB5A92">
      <w:pPr>
        <w:pStyle w:val="Paragraphedeliste"/>
        <w:numPr>
          <w:ilvl w:val="0"/>
          <w:numId w:val="2"/>
        </w:numPr>
        <w:spacing w:after="60" w:line="264" w:lineRule="auto"/>
        <w:jc w:val="both"/>
      </w:pPr>
      <w:r>
        <w:t>augmenter l’humidité relative de l’air ;</w:t>
      </w:r>
    </w:p>
    <w:p w14:paraId="0FB61551" w14:textId="77777777" w:rsidR="00AB5A92" w:rsidRDefault="00AB5A92" w:rsidP="00AB5A92">
      <w:pPr>
        <w:pStyle w:val="Paragraphedeliste"/>
        <w:numPr>
          <w:ilvl w:val="0"/>
          <w:numId w:val="2"/>
        </w:numPr>
        <w:spacing w:after="60" w:line="264" w:lineRule="auto"/>
        <w:jc w:val="both"/>
      </w:pPr>
      <w:r>
        <w:t>réduire la température ambiante ;</w:t>
      </w:r>
    </w:p>
    <w:p w14:paraId="116AEADA" w14:textId="77777777" w:rsidR="00AB5A92" w:rsidRDefault="00AB5A92" w:rsidP="00AB5A92">
      <w:pPr>
        <w:pStyle w:val="Paragraphedeliste"/>
        <w:numPr>
          <w:ilvl w:val="0"/>
          <w:numId w:val="2"/>
        </w:numPr>
        <w:spacing w:after="60" w:line="264" w:lineRule="auto"/>
        <w:jc w:val="both"/>
      </w:pPr>
      <w:r>
        <w:t>limiter le stress hydrique lors des périodes de forte chaleur.</w:t>
      </w:r>
    </w:p>
    <w:p w14:paraId="4DC06877" w14:textId="3258DD71" w:rsidR="00AB5A92" w:rsidRDefault="00AB5A92" w:rsidP="00AB5A92">
      <w:pPr>
        <w:spacing w:after="140" w:line="276" w:lineRule="auto"/>
        <w:jc w:val="both"/>
      </w:pPr>
      <w:r>
        <w:rPr>
          <w:b/>
          <w:bCs/>
          <w:color w:val="1E6B4F"/>
        </w:rPr>
        <w:t>E</w:t>
      </w:r>
      <w:r>
        <w:t xml:space="preserve">n augmentant l’humidité de l’air, la brumisation réduit le déficit de pression de vapeur (VPD), c’est-à-dire l’écart entre l’humidité de l’air et sa capacité maximale. Un VPD trop élevé impose à la plante une transpiration excessive : les stomates se ferment, la photosynthèse ralentit et la croissance est freinée. La brumisation est particulièrement </w:t>
      </w:r>
      <w:r>
        <w:t xml:space="preserve">importante </w:t>
      </w:r>
      <w:r>
        <w:t>au moment du repiquage et pour les jeunes plants, dont le système racinaire encore limité ne peut compenser de fortes pertes en eau.</w:t>
      </w:r>
    </w:p>
    <w:p w14:paraId="05D9B0C9" w14:textId="02A1B128" w:rsidR="0052657A" w:rsidRDefault="0052657A" w:rsidP="0052657A">
      <w:pPr>
        <w:pStyle w:val="Titre2"/>
      </w:pPr>
      <w:r>
        <w:t>Le système de chauffage à l’air chaud</w:t>
      </w:r>
    </w:p>
    <w:p w14:paraId="545EB003" w14:textId="3D42293F" w:rsidR="00102DD7" w:rsidRDefault="00102DD7" w:rsidP="00102DD7">
      <w:pPr>
        <w:spacing w:after="140" w:line="276" w:lineRule="auto"/>
        <w:jc w:val="both"/>
      </w:pPr>
      <w:r>
        <w:t>Le système de chauffage diffuse de l'air chaud dans l'atmosphère de la serre lorsque la température intérieure descend en dessous du seuil souhaité. Il est utilisé pour :</w:t>
      </w:r>
    </w:p>
    <w:p w14:paraId="78B97F76" w14:textId="77777777" w:rsidR="00102DD7" w:rsidRDefault="00102DD7" w:rsidP="00102DD7">
      <w:pPr>
        <w:pStyle w:val="Paragraphedeliste"/>
        <w:numPr>
          <w:ilvl w:val="0"/>
          <w:numId w:val="2"/>
        </w:numPr>
        <w:spacing w:after="60" w:line="264" w:lineRule="auto"/>
        <w:jc w:val="both"/>
      </w:pPr>
      <w:r>
        <w:t>maintenir la température de l'air au-dessus du minimum requis par les cultures ;</w:t>
      </w:r>
    </w:p>
    <w:p w14:paraId="3759CED9" w14:textId="77777777" w:rsidR="00102DD7" w:rsidRDefault="00102DD7" w:rsidP="00102DD7">
      <w:pPr>
        <w:pStyle w:val="Paragraphedeliste"/>
        <w:numPr>
          <w:ilvl w:val="0"/>
          <w:numId w:val="2"/>
        </w:numPr>
        <w:spacing w:after="60" w:line="264" w:lineRule="auto"/>
        <w:jc w:val="both"/>
      </w:pPr>
      <w:r>
        <w:t>protéger les plantes du stress thermique lié au froid, notamment la nuit et durant les périodes fraîches ;</w:t>
      </w:r>
      <w:r>
        <w:t xml:space="preserve"> </w:t>
      </w:r>
    </w:p>
    <w:p w14:paraId="36821133" w14:textId="77777777" w:rsidR="00102DD7" w:rsidRDefault="00102DD7" w:rsidP="00102DD7">
      <w:pPr>
        <w:pStyle w:val="Paragraphedeliste"/>
        <w:numPr>
          <w:ilvl w:val="0"/>
          <w:numId w:val="2"/>
        </w:numPr>
        <w:spacing w:after="60" w:line="264" w:lineRule="auto"/>
        <w:jc w:val="both"/>
      </w:pPr>
      <w:r>
        <w:t>soutenir la croissance et l'activité physiologique des cultures lorsque les conditions extérieures sont défavorables ;</w:t>
      </w:r>
    </w:p>
    <w:p w14:paraId="518286B4" w14:textId="50AA761D" w:rsidR="00102DD7" w:rsidRDefault="00102DD7" w:rsidP="00102DD7">
      <w:pPr>
        <w:pStyle w:val="Paragraphedeliste"/>
        <w:numPr>
          <w:ilvl w:val="0"/>
          <w:numId w:val="2"/>
        </w:numPr>
        <w:spacing w:after="60" w:line="264" w:lineRule="auto"/>
        <w:jc w:val="both"/>
      </w:pPr>
      <w:r>
        <w:t xml:space="preserve">limiter la condensation sur le feuillage et, </w:t>
      </w:r>
      <w:proofErr w:type="spellStart"/>
      <w:r>
        <w:t>par là</w:t>
      </w:r>
      <w:proofErr w:type="spellEnd"/>
      <w:r>
        <w:t>, les risques de maladies cryptogamiques.</w:t>
      </w:r>
    </w:p>
    <w:p w14:paraId="2460729A" w14:textId="17769922" w:rsidR="0052657A" w:rsidRDefault="00102DD7" w:rsidP="00102DD7">
      <w:pPr>
        <w:spacing w:after="140" w:line="276" w:lineRule="auto"/>
        <w:jc w:val="both"/>
      </w:pPr>
      <w:r>
        <w:t>En relevant la température ambiante, le chauffage maintient les cultures dans leur plage thermique optimale. La température gouverne en effet la vitesse des processus métaboliques de la plante : en dessous d'un certain seuil, l'activité enzymatique ralentit, la photosynthèse et l'absorption de l'eau et des éléments minéraux diminuent, et la croissance est freinée — un froid prononcé pouvant même occasionner des dommages physiologiques. Le déclenchement du chauffage, commandé en fonction de la température relevée à l'intérieur de la serre, permet de prévenir ces situations. En réchauffant l'air, le système abaisse par ailleurs son humidité relative et réduit la condensation à la surface des feuilles, ce qui limite le développement des pathogènes fongiques favorisés par un feuillage humide.</w:t>
      </w:r>
    </w:p>
    <w:p w14:paraId="6861ACC2" w14:textId="77777777" w:rsidR="00102DD7" w:rsidRDefault="00102DD7" w:rsidP="00102DD7">
      <w:pPr>
        <w:pStyle w:val="Titre2"/>
      </w:pPr>
      <w:r>
        <w:t>Le système d'injection de CO</w:t>
      </w:r>
      <w:r w:rsidRPr="00102DD7">
        <w:rPr>
          <w:rFonts w:ascii="Cambria Math" w:hAnsi="Cambria Math" w:cs="Cambria Math"/>
        </w:rPr>
        <w:t>₂</w:t>
      </w:r>
    </w:p>
    <w:p w14:paraId="1CECD934" w14:textId="03858622" w:rsidR="00102DD7" w:rsidRDefault="00102DD7" w:rsidP="00102DD7">
      <w:pPr>
        <w:spacing w:after="140" w:line="276" w:lineRule="auto"/>
        <w:jc w:val="both"/>
      </w:pPr>
      <w:r>
        <w:t>Le système d'injection de CO</w:t>
      </w:r>
      <w:r w:rsidRPr="00102DD7">
        <w:rPr>
          <w:rFonts w:ascii="Cambria Math" w:hAnsi="Cambria Math" w:cs="Cambria Math"/>
        </w:rPr>
        <w:t>₂</w:t>
      </w:r>
      <w:r>
        <w:t xml:space="preserve"> enrichit l'atmosphère de la serre en dioxyde de carbone afin de stimuler la photosynthèse des cultures. Il est utilisé pour :</w:t>
      </w:r>
    </w:p>
    <w:p w14:paraId="45556A12" w14:textId="77777777" w:rsidR="00102DD7" w:rsidRDefault="00102DD7" w:rsidP="00102DD7">
      <w:pPr>
        <w:pStyle w:val="Paragraphedeliste"/>
        <w:numPr>
          <w:ilvl w:val="0"/>
          <w:numId w:val="2"/>
        </w:numPr>
        <w:spacing w:after="60" w:line="264" w:lineRule="auto"/>
        <w:jc w:val="both"/>
      </w:pPr>
      <w:r>
        <w:t>relever la concentration en CO</w:t>
      </w:r>
      <w:r w:rsidRPr="00102DD7">
        <w:rPr>
          <w:rFonts w:ascii="Cambria Math" w:hAnsi="Cambria Math" w:cs="Cambria Math"/>
        </w:rPr>
        <w:t>₂</w:t>
      </w:r>
      <w:r>
        <w:t xml:space="preserve"> de l'air au-dessus du niveau ambiant ;</w:t>
      </w:r>
    </w:p>
    <w:p w14:paraId="78D307A2" w14:textId="77777777" w:rsidR="00102DD7" w:rsidRDefault="00102DD7" w:rsidP="00102DD7">
      <w:pPr>
        <w:pStyle w:val="Paragraphedeliste"/>
        <w:numPr>
          <w:ilvl w:val="0"/>
          <w:numId w:val="2"/>
        </w:numPr>
        <w:spacing w:after="60" w:line="264" w:lineRule="auto"/>
        <w:jc w:val="both"/>
      </w:pPr>
      <w:r>
        <w:t>compenser l'appauvrissement en CO</w:t>
      </w:r>
      <w:r w:rsidRPr="00102DD7">
        <w:rPr>
          <w:rFonts w:ascii="Cambria Math" w:hAnsi="Cambria Math" w:cs="Cambria Math"/>
        </w:rPr>
        <w:t>₂</w:t>
      </w:r>
      <w:r>
        <w:t xml:space="preserve"> autour des feuilles en culture dense, notamment lorsque la serre est fermée ;</w:t>
      </w:r>
    </w:p>
    <w:p w14:paraId="52D8BC8C" w14:textId="77777777" w:rsidR="00102DD7" w:rsidRDefault="00102DD7" w:rsidP="00102DD7">
      <w:pPr>
        <w:pStyle w:val="Paragraphedeliste"/>
        <w:numPr>
          <w:ilvl w:val="0"/>
          <w:numId w:val="2"/>
        </w:numPr>
        <w:spacing w:after="60" w:line="264" w:lineRule="auto"/>
        <w:jc w:val="both"/>
      </w:pPr>
      <w:r>
        <w:t>accroître la vitesse de la photosynthèse ;</w:t>
      </w:r>
    </w:p>
    <w:p w14:paraId="5FC639DF" w14:textId="77777777" w:rsidR="00102DD7" w:rsidRDefault="00102DD7" w:rsidP="00102DD7">
      <w:pPr>
        <w:pStyle w:val="Paragraphedeliste"/>
        <w:numPr>
          <w:ilvl w:val="0"/>
          <w:numId w:val="2"/>
        </w:numPr>
        <w:spacing w:after="60" w:line="264" w:lineRule="auto"/>
        <w:jc w:val="both"/>
      </w:pPr>
      <w:r>
        <w:t>améliorer la croissance, la productivité et la qualité des récoltes.</w:t>
      </w:r>
    </w:p>
    <w:p w14:paraId="52A7193F" w14:textId="77777777" w:rsidR="00102DD7" w:rsidRDefault="00102DD7" w:rsidP="00102DD7">
      <w:pPr>
        <w:spacing w:after="140" w:line="276" w:lineRule="auto"/>
        <w:jc w:val="both"/>
      </w:pPr>
    </w:p>
    <w:p w14:paraId="7CB0D50B" w14:textId="6F805BAD" w:rsidR="00102DD7" w:rsidRDefault="00102DD7" w:rsidP="00102DD7">
      <w:pPr>
        <w:spacing w:after="140" w:line="276" w:lineRule="auto"/>
        <w:jc w:val="both"/>
      </w:pPr>
      <w:r>
        <w:t>Le dioxyde de carbone est l'un des substrats fondamentaux de la photosynthèse : c'est à partir du CO</w:t>
      </w:r>
      <w:r w:rsidRPr="00102DD7">
        <w:rPr>
          <w:rFonts w:ascii="Cambria Math" w:hAnsi="Cambria Math" w:cs="Cambria Math"/>
        </w:rPr>
        <w:t>₂</w:t>
      </w:r>
      <w:r>
        <w:t xml:space="preserve"> et de l'eau que la plante, sous l'effet de la lumière, élabore les sucres nécessaires à sa croissance. Dans une serre fermée où les cultures sont actives, le CO</w:t>
      </w:r>
      <w:r w:rsidRPr="00102DD7">
        <w:rPr>
          <w:rFonts w:ascii="Cambria Math" w:hAnsi="Cambria Math" w:cs="Cambria Math"/>
        </w:rPr>
        <w:t>₂</w:t>
      </w:r>
      <w:r>
        <w:t xml:space="preserve"> de l'air s'épuise rapidement et devient un facteur limitant ; sa concentration peut alors tomber sous le niveau de l'atmosphère extérieure. En rétablissant, voire en relevant, cette concentration, l'injection de CO</w:t>
      </w:r>
      <w:r w:rsidRPr="00102DD7">
        <w:rPr>
          <w:rFonts w:ascii="Cambria Math" w:hAnsi="Cambria Math" w:cs="Cambria Math"/>
        </w:rPr>
        <w:t>₂</w:t>
      </w:r>
      <w:r>
        <w:t xml:space="preserve"> lève cette limitation et permet d'exploiter pleinement le potentiel photosynthétique des cultures — d'autant plus efficacement que la lumière et la température sont, par ailleurs, favorables. L'enrichissement est piloté en fonction de la teneur en CO</w:t>
      </w:r>
      <w:r w:rsidRPr="00102DD7">
        <w:rPr>
          <w:rFonts w:ascii="Cambria Math" w:hAnsi="Cambria Math" w:cs="Cambria Math"/>
        </w:rPr>
        <w:t>₂</w:t>
      </w:r>
      <w:r>
        <w:t xml:space="preserve"> mesurée dans la serre et coordonné avec la ventilation, l'apport n'étant pleinement valorisé que lorsque les ouvrants sont fermés, faute de quoi le gaz se dissiperait vers l'extérieur.</w:t>
      </w:r>
    </w:p>
    <w:p w14:paraId="43483682" w14:textId="77777777" w:rsidR="00102DD7" w:rsidRPr="00102DD7" w:rsidRDefault="00102DD7" w:rsidP="00102DD7">
      <w:pPr>
        <w:pStyle w:val="Titre2"/>
      </w:pPr>
      <w:r w:rsidRPr="00102DD7">
        <w:t>Les lampes LED d'éclairage</w:t>
      </w:r>
    </w:p>
    <w:p w14:paraId="445FE4C1" w14:textId="77777777" w:rsidR="00102DD7" w:rsidRPr="008F66BC" w:rsidRDefault="00102DD7" w:rsidP="008F66BC">
      <w:pPr>
        <w:spacing w:after="140" w:line="276" w:lineRule="auto"/>
        <w:jc w:val="both"/>
      </w:pPr>
      <w:r w:rsidRPr="008F66BC">
        <w:t>La serre est équipée de lampes LED qui fournissent un éclairage d'appoint aux cultures. Elles sont utilisées pour :</w:t>
      </w:r>
    </w:p>
    <w:p w14:paraId="2DD79D8D" w14:textId="77777777" w:rsidR="00102DD7" w:rsidRPr="008F66BC" w:rsidRDefault="00102DD7" w:rsidP="008F66BC">
      <w:pPr>
        <w:pStyle w:val="Paragraphedeliste"/>
        <w:numPr>
          <w:ilvl w:val="0"/>
          <w:numId w:val="2"/>
        </w:numPr>
        <w:spacing w:after="60" w:line="264" w:lineRule="auto"/>
        <w:jc w:val="both"/>
      </w:pPr>
      <w:r w:rsidRPr="008F66BC">
        <w:t>compléter la lumière naturelle lorsque celle-ci est insuffisante ;</w:t>
      </w:r>
    </w:p>
    <w:p w14:paraId="43C3F11B" w14:textId="77777777" w:rsidR="00102DD7" w:rsidRPr="008F66BC" w:rsidRDefault="00102DD7" w:rsidP="008F66BC">
      <w:pPr>
        <w:pStyle w:val="Paragraphedeliste"/>
        <w:numPr>
          <w:ilvl w:val="0"/>
          <w:numId w:val="2"/>
        </w:numPr>
        <w:spacing w:after="60" w:line="264" w:lineRule="auto"/>
        <w:jc w:val="both"/>
      </w:pPr>
      <w:r w:rsidRPr="008F66BC">
        <w:t>assurer un éclairement suffisant pour soutenir la photosynthèse ;</w:t>
      </w:r>
    </w:p>
    <w:p w14:paraId="4F056C34" w14:textId="77777777" w:rsidR="00102DD7" w:rsidRPr="008F66BC" w:rsidRDefault="00102DD7" w:rsidP="008F66BC">
      <w:pPr>
        <w:pStyle w:val="Paragraphedeliste"/>
        <w:numPr>
          <w:ilvl w:val="0"/>
          <w:numId w:val="2"/>
        </w:numPr>
        <w:spacing w:after="60" w:line="264" w:lineRule="auto"/>
        <w:jc w:val="both"/>
      </w:pPr>
      <w:r w:rsidRPr="008F66BC">
        <w:t>maintenir la croissance durant les journées courtes, couvertes ou peu lumineuses ;</w:t>
      </w:r>
    </w:p>
    <w:p w14:paraId="1E14E71A" w14:textId="77777777" w:rsidR="00102DD7" w:rsidRPr="008F66BC" w:rsidRDefault="00102DD7" w:rsidP="008F66BC">
      <w:pPr>
        <w:pStyle w:val="Paragraphedeliste"/>
        <w:numPr>
          <w:ilvl w:val="0"/>
          <w:numId w:val="2"/>
        </w:numPr>
        <w:spacing w:after="60" w:line="264" w:lineRule="auto"/>
        <w:jc w:val="both"/>
      </w:pPr>
      <w:r w:rsidRPr="008F66BC">
        <w:t>prolonger la durée d'éclairement en début et en fin de journée.</w:t>
      </w:r>
    </w:p>
    <w:p w14:paraId="07538B80" w14:textId="4F02A887" w:rsidR="00102DD7" w:rsidRDefault="00102DD7" w:rsidP="008F66BC">
      <w:pPr>
        <w:spacing w:after="140" w:line="276" w:lineRule="auto"/>
        <w:jc w:val="both"/>
      </w:pPr>
      <w:r w:rsidRPr="008F66BC">
        <w:t>La lumière est la source d'énergie de la photosynthèse : en deçà d'un certain niveau d'éclairement, l'assimilation du carbone ralentit et la croissance est freinée, quelles que soient par ailleurs les conditions de température ou de nutrition. L'éclairage LED permet de pallier ce déficit lumineux tout en présentant l'avantage d'une faible consommation énergétique et d'un faible dégagement de chaleur, qui évite de perturber le climat de la serre. Le fonctionnement des lampes est piloté par un </w:t>
      </w:r>
      <w:r w:rsidRPr="008F66BC">
        <w:rPr>
          <w:b/>
          <w:bCs/>
        </w:rPr>
        <w:t>luxmètre</w:t>
      </w:r>
      <w:r w:rsidRPr="008F66BC">
        <w:t> : ce capteur mesure en continu l'éclairement à l'intérieur de la serre et commande l'allumage des LED dès que la lumière naturelle passe sous le seuil souhaité, puis leur extinction lorsqu'elle redevient suffisante — assurant ainsi un éclairement adéquat tout en limitant la dépense énergétique.</w:t>
      </w:r>
    </w:p>
    <w:p w14:paraId="33090970" w14:textId="77777777" w:rsidR="008F66BC" w:rsidRPr="008F66BC" w:rsidRDefault="008F66BC" w:rsidP="008F66BC">
      <w:pPr>
        <w:pStyle w:val="Titre2"/>
      </w:pPr>
      <w:r w:rsidRPr="008F66BC">
        <w:t>Les écrans thermiques (intérieurs et extérieurs)</w:t>
      </w:r>
    </w:p>
    <w:p w14:paraId="7CBBDDB5" w14:textId="77777777" w:rsidR="008F66BC" w:rsidRPr="008F66BC" w:rsidRDefault="008F66BC" w:rsidP="008F66BC">
      <w:pPr>
        <w:spacing w:after="140" w:line="276" w:lineRule="auto"/>
        <w:jc w:val="both"/>
      </w:pPr>
      <w:r w:rsidRPr="008F66BC">
        <w:t>La serre est équipée d'écrans thermiques mobiles, disposés à l'intérieur sous la couverture et à l'extérieur au-dessus de celle-ci, qui se déploient ou se rétractent selon les besoins. Ils sont utilisés pour :</w:t>
      </w:r>
    </w:p>
    <w:p w14:paraId="4E3568A8" w14:textId="77777777" w:rsidR="008F66BC" w:rsidRPr="008F66BC" w:rsidRDefault="008F66BC" w:rsidP="008F66BC">
      <w:pPr>
        <w:pStyle w:val="Paragraphedeliste"/>
        <w:numPr>
          <w:ilvl w:val="0"/>
          <w:numId w:val="2"/>
        </w:numPr>
        <w:spacing w:after="60" w:line="264" w:lineRule="auto"/>
        <w:jc w:val="both"/>
      </w:pPr>
      <w:r w:rsidRPr="008F66BC">
        <w:t>limiter les déperditions de chaleur, en particulier la nuit et durant les périodes froides ;</w:t>
      </w:r>
    </w:p>
    <w:p w14:paraId="71FCD144" w14:textId="77777777" w:rsidR="008F66BC" w:rsidRPr="008F66BC" w:rsidRDefault="008F66BC" w:rsidP="008F66BC">
      <w:pPr>
        <w:pStyle w:val="Paragraphedeliste"/>
        <w:numPr>
          <w:ilvl w:val="0"/>
          <w:numId w:val="2"/>
        </w:numPr>
        <w:spacing w:after="60" w:line="264" w:lineRule="auto"/>
        <w:jc w:val="both"/>
      </w:pPr>
      <w:r w:rsidRPr="008F66BC">
        <w:t>réduire le rayonnement solaire excessif et ombrer les cultures lors des fortes chaleurs ;</w:t>
      </w:r>
    </w:p>
    <w:p w14:paraId="0AF50E8C" w14:textId="77777777" w:rsidR="008F66BC" w:rsidRPr="008F66BC" w:rsidRDefault="008F66BC" w:rsidP="008F66BC">
      <w:pPr>
        <w:pStyle w:val="Paragraphedeliste"/>
        <w:numPr>
          <w:ilvl w:val="0"/>
          <w:numId w:val="2"/>
        </w:numPr>
        <w:spacing w:after="60" w:line="264" w:lineRule="auto"/>
        <w:jc w:val="both"/>
      </w:pPr>
      <w:r w:rsidRPr="008F66BC">
        <w:t>contribuer à la régulation de la température et de l'humidité ;</w:t>
      </w:r>
    </w:p>
    <w:p w14:paraId="65362568" w14:textId="150D4392" w:rsidR="008F66BC" w:rsidRDefault="008F66BC" w:rsidP="008F66BC">
      <w:pPr>
        <w:spacing w:after="140" w:line="276" w:lineRule="auto"/>
        <w:jc w:val="both"/>
      </w:pPr>
      <w:r w:rsidRPr="008F66BC">
        <w:t>Les écrans thermiques agissent sur le bilan radiatif et thermique de la serre. Déployé la nuit, l'</w:t>
      </w:r>
      <w:r w:rsidRPr="008F66BC">
        <w:rPr>
          <w:b/>
          <w:bCs/>
        </w:rPr>
        <w:t>écran intérieur</w:t>
      </w:r>
      <w:r w:rsidRPr="008F66BC">
        <w:t> forme sous la couverture une barrière isolante qui freine les pertes de chaleur par rayonnement et convection : il réduit ainsi les besoins de chauffage et stabilise la température autour des cultures. L'</w:t>
      </w:r>
      <w:r w:rsidRPr="008F66BC">
        <w:rPr>
          <w:b/>
          <w:bCs/>
        </w:rPr>
        <w:t>écran extérieur</w:t>
      </w:r>
      <w:r w:rsidRPr="008F66BC">
        <w:t xml:space="preserve">, quant à lui, intercepte une partie du rayonnement solaire avant même qu'il ne pénètre dans la serre, ce qui abaisse efficacement la charge thermique </w:t>
      </w:r>
      <w:r w:rsidRPr="008F66BC">
        <w:lastRenderedPageBreak/>
        <w:t>durant les périodes les plus chaudes et protège les cultures d'un éclairement et d'une température excessifs. La complémentarité des deux dispositifs — isolation par l'intérieur, ombrage et limitation des apports par l'extérieur — permet de tempérer le climat de la serre tout au long de l'année. Leur déploiement est automatisé et commandé en fonction des paramètres relevés (éclairement, température), en cohérence avec les autres équipements de régulation climatique.</w:t>
      </w:r>
    </w:p>
    <w:p w14:paraId="07E9D2D6" w14:textId="7356D4FF" w:rsidR="0052657A" w:rsidRDefault="0052657A" w:rsidP="0052657A">
      <w:pPr>
        <w:pStyle w:val="Titre2"/>
      </w:pPr>
      <w:r>
        <w:t>Le</w:t>
      </w:r>
      <w:r>
        <w:t>s tablettes mobiles</w:t>
      </w:r>
    </w:p>
    <w:p w14:paraId="265B4C81" w14:textId="492C0D8E" w:rsidR="0052657A" w:rsidRPr="0052657A" w:rsidRDefault="0052657A" w:rsidP="0052657A">
      <w:pPr>
        <w:spacing w:after="140" w:line="276" w:lineRule="auto"/>
        <w:jc w:val="both"/>
      </w:pPr>
      <w:r w:rsidRPr="0052657A">
        <w:t>Les pots sont disposés sur des tablettes mobiles qui leur servent de support. Leur mobilité permet d'optimiser l'occupation de l'espace et de faciliter la circulation et les travaux d'entretien. Ces tablettes sont équipées de tuyaux d'eau chaude : en cas de besoin, la circulation d'eau chaude réchauffe la zone racinaire pour favoriser le développement du système racinaire.</w:t>
      </w:r>
    </w:p>
    <w:p w14:paraId="14EA5349" w14:textId="14EBF57C" w:rsidR="0052657A" w:rsidRDefault="0052657A" w:rsidP="0052657A">
      <w:pPr>
        <w:spacing w:after="140" w:line="276" w:lineRule="auto"/>
        <w:jc w:val="both"/>
      </w:pPr>
      <w:r>
        <w:t>L</w:t>
      </w:r>
      <w:r w:rsidRPr="0052657A">
        <w:t>a culture hors-sol en pots découple la plante du sol et confère à l'expérimentateur un contrôle étroit de la zone racinaire — nature du substrat, volume de pot, fréquence des apports, composition de la solution nutritive. Cette maîtrise réduit la variabilité, facilite la comparaison rigoureuse des modalités d'essai et améliore l'efficience d'utilisation de l'eau. Le réchauffement de la zone racinaire vient compléter ce contrôle : en maintenant le substrat à une température favorable, il stimule l'activité des racines et l'absorption de l'eau et des éléments minéraux, un atout précieux lors des périodes fraîches où un substrat froid ralentirait la croissance.</w:t>
      </w:r>
    </w:p>
    <w:p w14:paraId="06000A8D" w14:textId="53BD015E" w:rsidR="00D163C6" w:rsidRDefault="00AB5A92">
      <w:pPr>
        <w:pStyle w:val="Titre2"/>
      </w:pPr>
      <w:r>
        <w:t>La s</w:t>
      </w:r>
      <w:r w:rsidR="00000000">
        <w:t>tation de fertigation</w:t>
      </w:r>
      <w:bookmarkEnd w:id="6"/>
    </w:p>
    <w:p w14:paraId="4AA17BA5" w14:textId="77777777" w:rsidR="00D163C6" w:rsidRDefault="00000000">
      <w:pPr>
        <w:spacing w:after="140" w:line="276" w:lineRule="auto"/>
        <w:jc w:val="both"/>
      </w:pPr>
      <w:r>
        <w:t>La station de fertigation permet l’injection automatisée des fertilisants dans le réseau d’irrigation. C’est le cœur de la gestion de l’eau et de la nutrition minérale de la serre. Elle assure :</w:t>
      </w:r>
    </w:p>
    <w:p w14:paraId="30113A2A" w14:textId="77777777" w:rsidR="00D163C6" w:rsidRDefault="00000000">
      <w:pPr>
        <w:pStyle w:val="Paragraphedeliste"/>
        <w:numPr>
          <w:ilvl w:val="0"/>
          <w:numId w:val="2"/>
        </w:numPr>
        <w:spacing w:after="60" w:line="264" w:lineRule="auto"/>
        <w:jc w:val="both"/>
      </w:pPr>
      <w:r>
        <w:t>la préparation précise des solutions nutritives ;</w:t>
      </w:r>
    </w:p>
    <w:p w14:paraId="1FF13334" w14:textId="1EB4FD40" w:rsidR="00D163C6" w:rsidRDefault="00000000">
      <w:pPr>
        <w:pStyle w:val="Paragraphedeliste"/>
        <w:numPr>
          <w:ilvl w:val="0"/>
          <w:numId w:val="2"/>
        </w:numPr>
        <w:spacing w:after="60" w:line="264" w:lineRule="auto"/>
        <w:jc w:val="both"/>
      </w:pPr>
      <w:r>
        <w:t xml:space="preserve">le contrôle du pH et de la conductivité électrique (CE) </w:t>
      </w:r>
      <w:r w:rsidR="0052657A">
        <w:t>de la solution nutritive</w:t>
      </w:r>
      <w:r>
        <w:t>;</w:t>
      </w:r>
    </w:p>
    <w:p w14:paraId="0346127C" w14:textId="77777777" w:rsidR="00D163C6" w:rsidRDefault="00000000">
      <w:pPr>
        <w:pStyle w:val="Paragraphedeliste"/>
        <w:numPr>
          <w:ilvl w:val="0"/>
          <w:numId w:val="2"/>
        </w:numPr>
        <w:spacing w:after="60" w:line="264" w:lineRule="auto"/>
        <w:jc w:val="both"/>
      </w:pPr>
      <w:r>
        <w:t>l’ajustement des doses d’engrais selon les besoins des cultures ;</w:t>
      </w:r>
    </w:p>
    <w:p w14:paraId="323FC230" w14:textId="77777777" w:rsidR="00D163C6" w:rsidRDefault="00000000">
      <w:pPr>
        <w:pStyle w:val="Paragraphedeliste"/>
        <w:numPr>
          <w:ilvl w:val="0"/>
          <w:numId w:val="2"/>
        </w:numPr>
        <w:spacing w:after="60" w:line="264" w:lineRule="auto"/>
        <w:jc w:val="both"/>
      </w:pPr>
      <w:r>
        <w:t>la gestion de plusieurs programmes de fertilisation.</w:t>
      </w:r>
    </w:p>
    <w:p w14:paraId="53098C8C" w14:textId="0979A625" w:rsidR="00D163C6" w:rsidRDefault="0052657A">
      <w:pPr>
        <w:spacing w:after="140" w:line="276" w:lineRule="auto"/>
        <w:jc w:val="both"/>
      </w:pPr>
      <w:r>
        <w:rPr>
          <w:b/>
          <w:bCs/>
          <w:color w:val="1E6B4F"/>
        </w:rPr>
        <w:t>L</w:t>
      </w:r>
      <w:r w:rsidR="00000000">
        <w:t>a fertigation associe en un seul geste l’irrigation et la nutrition. La conductivité électrique (CE) renseigne sur la concentration totale en sels dissous, c’est-à-dire sur la richesse de la solution en éléments nutritifs ; le pH, lui, conditionne la disponibilité de ces éléments pour la plante — un pH mal maîtrisé peut bloquer l’assimilation du fer, du phosphore ou d’autres éléments, même lorsqu’ils sont présents. En pilotant finement ces deux paramètres et en modulant l’apport des macroéléments (azote, phosphore, potassium, calcium, magnésium, soufre) et des oligoéléments, on ajuste la nutrition au stade de la culture tout en optimisant l’efficience d’utilisation de l’eau et des intrants.</w:t>
      </w:r>
    </w:p>
    <w:p w14:paraId="1A4ED31E" w14:textId="0094D0A3" w:rsidR="00D163C6" w:rsidRDefault="00D163C6" w:rsidP="00E47600"/>
    <w:sectPr w:rsidR="00D163C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59ECF" w14:textId="77777777" w:rsidR="00653DAA" w:rsidRDefault="00653DAA">
      <w:r>
        <w:separator/>
      </w:r>
    </w:p>
  </w:endnote>
  <w:endnote w:type="continuationSeparator" w:id="0">
    <w:p w14:paraId="0BF0AFF6" w14:textId="77777777" w:rsidR="00653DAA" w:rsidRDefault="00653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122D" w14:textId="77777777" w:rsidR="00D163C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D1AC9">
      <w:rPr>
        <w:noProof/>
        <w:color w:val="595959"/>
        <w:sz w:val="16"/>
        <w:szCs w:val="16"/>
      </w:rPr>
      <w:t>17</w:t>
    </w:r>
    <w:r>
      <w:rPr>
        <w:color w:val="595959"/>
        <w:sz w:val="16"/>
        <w:szCs w:val="16"/>
      </w:rPr>
      <w:fldChar w:fldCharType="end"/>
    </w:r>
    <w:r>
      <w:rPr>
        <w:color w:val="595959"/>
        <w:sz w:val="16"/>
        <w:szCs w:val="16"/>
      </w:rPr>
      <w:t xml:space="preserve"> sur </w:t>
    </w:r>
    <w:r>
      <w:rPr>
        <w:color w:val="595959"/>
        <w:sz w:val="16"/>
        <w:szCs w:val="16"/>
      </w:rPr>
      <w:fldChar w:fldCharType="begin"/>
    </w:r>
    <w:r>
      <w:rPr>
        <w:color w:val="595959"/>
        <w:sz w:val="16"/>
        <w:szCs w:val="16"/>
      </w:rPr>
      <w:instrText>NUMPAGES</w:instrText>
    </w:r>
    <w:r>
      <w:rPr>
        <w:color w:val="595959"/>
        <w:sz w:val="16"/>
        <w:szCs w:val="16"/>
      </w:rPr>
      <w:fldChar w:fldCharType="separate"/>
    </w:r>
    <w:r w:rsidR="005D1AC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81AB7" w14:textId="77777777" w:rsidR="00653DAA" w:rsidRDefault="00653DAA">
      <w:r>
        <w:separator/>
      </w:r>
    </w:p>
  </w:footnote>
  <w:footnote w:type="continuationSeparator" w:id="0">
    <w:p w14:paraId="76C06483" w14:textId="77777777" w:rsidR="00653DAA" w:rsidRDefault="00653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DDFA" w14:textId="1536CEF4" w:rsidR="00D163C6" w:rsidRDefault="00000000">
    <w:pPr>
      <w:pBdr>
        <w:bottom w:val="single" w:sz="4" w:space="4" w:color="D6E2DA"/>
      </w:pBdr>
      <w:tabs>
        <w:tab w:val="right" w:pos="9360"/>
      </w:tabs>
    </w:pPr>
    <w:r>
      <w:rPr>
        <w:color w:val="595959"/>
        <w:sz w:val="16"/>
        <w:szCs w:val="16"/>
      </w:rPr>
      <w:tab/>
      <w:t xml:space="preserve">IAV Hassan II  •  </w:t>
    </w:r>
    <w:proofErr w:type="spellStart"/>
    <w:r>
      <w:rPr>
        <w:color w:val="595959"/>
        <w:sz w:val="16"/>
        <w:szCs w:val="16"/>
      </w:rPr>
      <w:t>GéoPortail</w:t>
    </w:r>
    <w:proofErr w:type="spellEnd"/>
    <w:r>
      <w:rPr>
        <w:color w:val="595959"/>
        <w:sz w:val="16"/>
        <w:szCs w:val="16"/>
      </w:rPr>
      <w:t xml:space="preserve"> </w:t>
    </w:r>
    <w:proofErr w:type="spellStart"/>
    <w:r>
      <w:rPr>
        <w:color w:val="595959"/>
        <w:sz w:val="16"/>
        <w:szCs w:val="16"/>
      </w:rPr>
      <w:t>AgriBioTech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778D"/>
    <w:multiLevelType w:val="hybridMultilevel"/>
    <w:tmpl w:val="7012F0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6CD6D74"/>
    <w:multiLevelType w:val="hybridMultilevel"/>
    <w:tmpl w:val="A4FE426C"/>
    <w:lvl w:ilvl="0" w:tplc="AAA2812E">
      <w:start w:val="1"/>
      <w:numFmt w:val="bullet"/>
      <w:lvlText w:val="●"/>
      <w:lvlJc w:val="left"/>
      <w:pPr>
        <w:ind w:left="720" w:hanging="360"/>
      </w:pPr>
    </w:lvl>
    <w:lvl w:ilvl="1" w:tplc="5FC68C4C">
      <w:start w:val="1"/>
      <w:numFmt w:val="bullet"/>
      <w:lvlText w:val="○"/>
      <w:lvlJc w:val="left"/>
      <w:pPr>
        <w:ind w:left="1440" w:hanging="360"/>
      </w:pPr>
    </w:lvl>
    <w:lvl w:ilvl="2" w:tplc="C518BDC2">
      <w:start w:val="1"/>
      <w:numFmt w:val="bullet"/>
      <w:lvlText w:val="■"/>
      <w:lvlJc w:val="left"/>
      <w:pPr>
        <w:ind w:left="2160" w:hanging="360"/>
      </w:pPr>
    </w:lvl>
    <w:lvl w:ilvl="3" w:tplc="676E4AA2">
      <w:start w:val="1"/>
      <w:numFmt w:val="bullet"/>
      <w:lvlText w:val="●"/>
      <w:lvlJc w:val="left"/>
      <w:pPr>
        <w:ind w:left="2880" w:hanging="360"/>
      </w:pPr>
    </w:lvl>
    <w:lvl w:ilvl="4" w:tplc="8AF08098">
      <w:start w:val="1"/>
      <w:numFmt w:val="bullet"/>
      <w:lvlText w:val="○"/>
      <w:lvlJc w:val="left"/>
      <w:pPr>
        <w:ind w:left="3600" w:hanging="360"/>
      </w:pPr>
    </w:lvl>
    <w:lvl w:ilvl="5" w:tplc="A5985D96">
      <w:start w:val="1"/>
      <w:numFmt w:val="bullet"/>
      <w:lvlText w:val="■"/>
      <w:lvlJc w:val="left"/>
      <w:pPr>
        <w:ind w:left="4320" w:hanging="360"/>
      </w:pPr>
    </w:lvl>
    <w:lvl w:ilvl="6" w:tplc="B1849632">
      <w:start w:val="1"/>
      <w:numFmt w:val="bullet"/>
      <w:lvlText w:val="●"/>
      <w:lvlJc w:val="left"/>
      <w:pPr>
        <w:ind w:left="5040" w:hanging="360"/>
      </w:pPr>
    </w:lvl>
    <w:lvl w:ilvl="7" w:tplc="886AD14E">
      <w:start w:val="1"/>
      <w:numFmt w:val="bullet"/>
      <w:lvlText w:val="●"/>
      <w:lvlJc w:val="left"/>
      <w:pPr>
        <w:ind w:left="5760" w:hanging="360"/>
      </w:pPr>
    </w:lvl>
    <w:lvl w:ilvl="8" w:tplc="1658B4C8">
      <w:start w:val="1"/>
      <w:numFmt w:val="bullet"/>
      <w:lvlText w:val="●"/>
      <w:lvlJc w:val="left"/>
      <w:pPr>
        <w:ind w:left="6480" w:hanging="360"/>
      </w:pPr>
    </w:lvl>
  </w:abstractNum>
  <w:abstractNum w:abstractNumId="2" w15:restartNumberingAfterBreak="0">
    <w:nsid w:val="4B8C7249"/>
    <w:multiLevelType w:val="hybridMultilevel"/>
    <w:tmpl w:val="7464A640"/>
    <w:lvl w:ilvl="0" w:tplc="74124F9A">
      <w:start w:val="1"/>
      <w:numFmt w:val="bullet"/>
      <w:lvlText w:val="•"/>
      <w:lvlJc w:val="left"/>
      <w:pPr>
        <w:ind w:left="600" w:hanging="280"/>
      </w:pPr>
      <w:rPr>
        <w:color w:val="2E8B62"/>
      </w:rPr>
    </w:lvl>
    <w:lvl w:ilvl="1" w:tplc="4FCCB466">
      <w:numFmt w:val="decimal"/>
      <w:lvlText w:val=""/>
      <w:lvlJc w:val="left"/>
    </w:lvl>
    <w:lvl w:ilvl="2" w:tplc="198C6116">
      <w:numFmt w:val="decimal"/>
      <w:lvlText w:val=""/>
      <w:lvlJc w:val="left"/>
    </w:lvl>
    <w:lvl w:ilvl="3" w:tplc="E550B858">
      <w:numFmt w:val="decimal"/>
      <w:lvlText w:val=""/>
      <w:lvlJc w:val="left"/>
    </w:lvl>
    <w:lvl w:ilvl="4" w:tplc="7986AD2E">
      <w:numFmt w:val="decimal"/>
      <w:lvlText w:val=""/>
      <w:lvlJc w:val="left"/>
    </w:lvl>
    <w:lvl w:ilvl="5" w:tplc="6CD46938">
      <w:numFmt w:val="decimal"/>
      <w:lvlText w:val=""/>
      <w:lvlJc w:val="left"/>
    </w:lvl>
    <w:lvl w:ilvl="6" w:tplc="FE382E86">
      <w:numFmt w:val="decimal"/>
      <w:lvlText w:val=""/>
      <w:lvlJc w:val="left"/>
    </w:lvl>
    <w:lvl w:ilvl="7" w:tplc="12BC3818">
      <w:numFmt w:val="decimal"/>
      <w:lvlText w:val=""/>
      <w:lvlJc w:val="left"/>
    </w:lvl>
    <w:lvl w:ilvl="8" w:tplc="791EE112">
      <w:numFmt w:val="decimal"/>
      <w:lvlText w:val=""/>
      <w:lvlJc w:val="left"/>
    </w:lvl>
  </w:abstractNum>
  <w:abstractNum w:abstractNumId="3" w15:restartNumberingAfterBreak="0">
    <w:nsid w:val="521F2840"/>
    <w:multiLevelType w:val="multilevel"/>
    <w:tmpl w:val="9D24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50709"/>
    <w:multiLevelType w:val="multilevel"/>
    <w:tmpl w:val="2E2E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930415">
    <w:abstractNumId w:val="1"/>
    <w:lvlOverride w:ilvl="0">
      <w:startOverride w:val="1"/>
    </w:lvlOverride>
  </w:num>
  <w:num w:numId="2" w16cid:durableId="572854117">
    <w:abstractNumId w:val="2"/>
    <w:lvlOverride w:ilvl="0">
      <w:startOverride w:val="1"/>
    </w:lvlOverride>
  </w:num>
  <w:num w:numId="3" w16cid:durableId="1214803721">
    <w:abstractNumId w:val="0"/>
  </w:num>
  <w:num w:numId="4" w16cid:durableId="722480910">
    <w:abstractNumId w:val="3"/>
  </w:num>
  <w:num w:numId="5" w16cid:durableId="1763794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3C6"/>
    <w:rsid w:val="000C2F38"/>
    <w:rsid w:val="00102DD7"/>
    <w:rsid w:val="00193B27"/>
    <w:rsid w:val="0024420E"/>
    <w:rsid w:val="003657EE"/>
    <w:rsid w:val="0052657A"/>
    <w:rsid w:val="005D1AC9"/>
    <w:rsid w:val="00653DAA"/>
    <w:rsid w:val="008F66BC"/>
    <w:rsid w:val="00AB5A92"/>
    <w:rsid w:val="00B767FA"/>
    <w:rsid w:val="00D163C6"/>
    <w:rsid w:val="00E47600"/>
    <w:rsid w:val="00EB0355"/>
    <w:rsid w:val="00F97D2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decimalSymbol w:val=","/>
  <w:listSeparator w:val=";"/>
  <w14:docId w14:val="168343C2"/>
  <w15:docId w15:val="{043C0695-5294-FF4B-87E1-6B63798B7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MA"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4" w:space="6" w:color="C9D8CF"/>
      </w:pBdr>
      <w:spacing w:before="320" w:after="180"/>
      <w:outlineLvl w:val="0"/>
    </w:pPr>
    <w:rPr>
      <w:b/>
      <w:bCs/>
      <w:color w:val="1E6B4F"/>
      <w:sz w:val="30"/>
      <w:szCs w:val="30"/>
    </w:rPr>
  </w:style>
  <w:style w:type="paragraph" w:styleId="Titre2">
    <w:name w:val="heading 2"/>
    <w:uiPriority w:val="9"/>
    <w:unhideWhenUsed/>
    <w:qFormat/>
    <w:pPr>
      <w:spacing w:before="240" w:after="120"/>
      <w:outlineLvl w:val="1"/>
    </w:pPr>
    <w:rPr>
      <w:b/>
      <w:bCs/>
      <w:color w:val="27323A"/>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D1AC9"/>
    <w:pPr>
      <w:spacing w:after="100"/>
    </w:pPr>
  </w:style>
  <w:style w:type="paragraph" w:styleId="TM2">
    <w:name w:val="toc 2"/>
    <w:basedOn w:val="Normal"/>
    <w:next w:val="Normal"/>
    <w:autoRedefine/>
    <w:uiPriority w:val="39"/>
    <w:unhideWhenUsed/>
    <w:rsid w:val="005D1AC9"/>
    <w:pPr>
      <w:spacing w:after="100"/>
      <w:ind w:left="220"/>
    </w:pPr>
  </w:style>
  <w:style w:type="paragraph" w:customStyle="1" w:styleId="font-claude-response-body">
    <w:name w:val="font-claude-response-body"/>
    <w:basedOn w:val="Normal"/>
    <w:rsid w:val="0052657A"/>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converted-space">
    <w:name w:val="apple-converted-space"/>
    <w:basedOn w:val="Policepardfaut"/>
    <w:rsid w:val="0052657A"/>
  </w:style>
  <w:style w:type="character" w:styleId="lev">
    <w:name w:val="Strong"/>
    <w:basedOn w:val="Policepardfaut"/>
    <w:uiPriority w:val="22"/>
    <w:qFormat/>
    <w:rsid w:val="0052657A"/>
    <w:rPr>
      <w:b/>
      <w:bCs/>
    </w:rPr>
  </w:style>
  <w:style w:type="character" w:styleId="Accentuation">
    <w:name w:val="Emphasis"/>
    <w:basedOn w:val="Policepardfaut"/>
    <w:uiPriority w:val="20"/>
    <w:qFormat/>
    <w:rsid w:val="0052657A"/>
    <w:rPr>
      <w:i/>
      <w:iCs/>
    </w:rPr>
  </w:style>
  <w:style w:type="paragraph" w:styleId="En-tte">
    <w:name w:val="header"/>
    <w:basedOn w:val="Normal"/>
    <w:link w:val="En-tteCar"/>
    <w:uiPriority w:val="99"/>
    <w:unhideWhenUsed/>
    <w:rsid w:val="003657EE"/>
    <w:pPr>
      <w:tabs>
        <w:tab w:val="center" w:pos="4536"/>
        <w:tab w:val="right" w:pos="9072"/>
      </w:tabs>
    </w:pPr>
  </w:style>
  <w:style w:type="character" w:customStyle="1" w:styleId="En-tteCar">
    <w:name w:val="En-tête Car"/>
    <w:basedOn w:val="Policepardfaut"/>
    <w:link w:val="En-tte"/>
    <w:uiPriority w:val="99"/>
    <w:rsid w:val="003657EE"/>
  </w:style>
  <w:style w:type="paragraph" w:styleId="Pieddepage">
    <w:name w:val="footer"/>
    <w:basedOn w:val="Normal"/>
    <w:link w:val="PieddepageCar"/>
    <w:uiPriority w:val="99"/>
    <w:unhideWhenUsed/>
    <w:rsid w:val="003657EE"/>
    <w:pPr>
      <w:tabs>
        <w:tab w:val="center" w:pos="4536"/>
        <w:tab w:val="right" w:pos="9072"/>
      </w:tabs>
    </w:pPr>
  </w:style>
  <w:style w:type="character" w:customStyle="1" w:styleId="PieddepageCar">
    <w:name w:val="Pied de page Car"/>
    <w:basedOn w:val="Policepardfaut"/>
    <w:link w:val="Pieddepage"/>
    <w:uiPriority w:val="99"/>
    <w:rsid w:val="00365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2004</Words>
  <Characters>11303</Characters>
  <Application>Microsoft Office Word</Application>
  <DocSecurity>0</DocSecurity>
  <Lines>226</Lines>
  <Paragraphs>144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houda taimourya</cp:lastModifiedBy>
  <cp:revision>3</cp:revision>
  <dcterms:created xsi:type="dcterms:W3CDTF">2026-06-05T10:39:00Z</dcterms:created>
  <dcterms:modified xsi:type="dcterms:W3CDTF">2026-06-05T10:57:00Z</dcterms:modified>
</cp:coreProperties>
</file>