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HỘI ĐỒNG NHÂN DÂN </w:t>
            </w:r>
            <w:r>
              <w:rPr>
                <w:b/>
                <w:bCs/>
                <w:rtl w:val="0"/>
              </w:rPr>
              <w:br/>
            </w:r>
            <w:r>
              <w:rPr>
                <w:b/>
                <w:bCs/>
                <w:rtl w:val="0"/>
              </w:rPr>
              <w:t>THÀNH PHỐ ĐÀ NẴNG</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13/2026/NQ-HĐND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Đà Nẵng, ngày 14 tháng 4 năm 2026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QUY ĐỊNH MỨC CHI ĐẶC THÙ HỖ TRỢ CÔNG TÁC PHÒNG, CHỐNG MA TÚY VÀ CAI NGHIỆN MA TÚY TRÊN ĐỊA BÀN THÀNH PHỐ ĐÀ NẴNG</w:t>
      </w:r>
      <w:bookmarkEnd w:id="1"/>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Ban hành văn bản quy phạm pháp luật số 64/2025/QH15; Luật Sửa đổi, bổ sung một số điều của Luật Ban hành văn bản quy phạm pháp luật số 87/2025/QH15;</w:t>
      </w:r>
    </w:p>
    <w:p>
      <w:pPr>
        <w:bidi w:val="0"/>
        <w:spacing w:before="120" w:beforeAutospacing="0" w:after="280" w:afterAutospacing="1"/>
      </w:pPr>
      <w:r>
        <w:rPr>
          <w:i/>
          <w:iCs/>
          <w:rtl w:val="0"/>
        </w:rPr>
        <w:t>Căn cứ Luật Ngân sách nhà nước số 89/2025/QH15;</w:t>
      </w:r>
    </w:p>
    <w:p>
      <w:pPr>
        <w:bidi w:val="0"/>
        <w:spacing w:before="120" w:beforeAutospacing="0" w:after="280" w:afterAutospacing="1"/>
      </w:pPr>
      <w:r>
        <w:rPr>
          <w:i/>
          <w:iCs/>
          <w:rtl w:val="0"/>
        </w:rPr>
        <w:t>Căn cứ Luật Phòng, chống ma túy số 73/2021/QH14;</w:t>
      </w:r>
    </w:p>
    <w:p>
      <w:pPr>
        <w:bidi w:val="0"/>
        <w:spacing w:before="120" w:beforeAutospacing="0" w:after="280" w:afterAutospacing="1"/>
      </w:pPr>
      <w:r>
        <w:rPr>
          <w:i/>
          <w:iCs/>
          <w:rtl w:val="0"/>
        </w:rPr>
        <w:t>Căn cứ Nghị quyết số 227/2025/QH15 ngày 27 tháng 6 năm 2025 của Quốc hội khóa XV về Kỳ họp thứ 9;</w:t>
      </w:r>
    </w:p>
    <w:p>
      <w:pPr>
        <w:bidi w:val="0"/>
        <w:spacing w:before="120" w:beforeAutospacing="0" w:after="280" w:afterAutospacing="1"/>
      </w:pPr>
      <w:r>
        <w:rPr>
          <w:i/>
          <w:iCs/>
          <w:rtl w:val="0"/>
        </w:rPr>
        <w:t>Căn cứ Nghị quyết số 163/2024/QH15 ngày 27 tháng 11 năm 2024 của Quốc hội về phê duyệt chủ trương đầu tư Chương trình mục tiêu quốc gia phòng, chống ma túy đến năm 2030;</w:t>
      </w:r>
    </w:p>
    <w:p>
      <w:pPr>
        <w:bidi w:val="0"/>
        <w:spacing w:before="120" w:beforeAutospacing="0" w:after="280" w:afterAutospacing="1"/>
      </w:pPr>
      <w:r>
        <w:rPr>
          <w:i/>
          <w:iCs/>
          <w:rtl w:val="0"/>
        </w:rPr>
        <w:t>Căn cứ Nghị định số 105/2021/NĐ-CP ngày 04 tháng 12 năm 2021 của Chính phủ quy định chi tiết và hướng dẫn thi hành một số điều của Luật Phòng, chống ma túy số 73/2021/QH14;</w:t>
      </w:r>
    </w:p>
    <w:p>
      <w:pPr>
        <w:bidi w:val="0"/>
        <w:spacing w:before="120" w:beforeAutospacing="0" w:after="280" w:afterAutospacing="1"/>
      </w:pPr>
      <w:r>
        <w:rPr>
          <w:i/>
          <w:iCs/>
          <w:rtl w:val="0"/>
        </w:rPr>
        <w:t>Căn cứ Nghị định số 116/2021/NĐ-CP ngày 21 tháng 12 năm 2021 của Chính phủ quy định chi tiết một số điều của Luật Phòng, chống ma túy và Luật Xử lý hành chính về cai nghiện ma túy và quản lý sau cai nghiện ma túy;</w:t>
      </w:r>
    </w:p>
    <w:p>
      <w:pPr>
        <w:bidi w:val="0"/>
        <w:spacing w:before="120" w:beforeAutospacing="0" w:after="280" w:afterAutospacing="1"/>
      </w:pPr>
      <w:r>
        <w:rPr>
          <w:i/>
          <w:iCs/>
          <w:rtl w:val="0"/>
        </w:rPr>
        <w:t>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bidi w:val="0"/>
        <w:spacing w:before="120" w:beforeAutospacing="0" w:after="280" w:afterAutospacing="1"/>
      </w:pPr>
      <w:r>
        <w:rPr>
          <w:i/>
          <w:iCs/>
          <w:rtl w:val="0"/>
        </w:rPr>
        <w:t>Căn cứ Nghị định số 184/2025/NĐ-CP ngày 01 tháng 7 năm 2025 của Chính phủ quy định phân định thẩm quyền khi tổ chức chính quyền địa phương 02 cấp và sửa đổi, bổ sung một số điều của các Nghị định của Chính phủ trong lĩnh vực an ninh, trật tự;</w:t>
      </w:r>
    </w:p>
    <w:p>
      <w:pPr>
        <w:bidi w:val="0"/>
        <w:spacing w:before="120" w:beforeAutospacing="0" w:after="280" w:afterAutospacing="1"/>
      </w:pPr>
      <w:r>
        <w:rPr>
          <w:i/>
          <w:iCs/>
          <w:rtl w:val="0"/>
        </w:rPr>
        <w:t>Xét Tờ trình số 138a/TTr-UBND ngày 13 tháng 4 năm 2026 của Ủy ban nhân dân thành phố; Báo cáo thẩm tra số 123/BC-PC ngày 14 tháng 4 năm 2026 của Ban Pháp chế và ý kiến thảo luận của đại biểu Hội đồng nhân dân thành phố tại kỳ họp;</w:t>
      </w:r>
    </w:p>
    <w:p>
      <w:pPr>
        <w:bidi w:val="0"/>
        <w:spacing w:before="120" w:beforeAutospacing="0" w:after="280" w:afterAutospacing="1"/>
      </w:pPr>
      <w:r>
        <w:rPr>
          <w:i/>
          <w:iCs/>
          <w:rtl w:val="0"/>
        </w:rPr>
        <w:t>Hội đồng nhân dân thành phố ban hành Nghị quyết quy định mức chi đặc thù hỗ trợ công tác phòng, chống ma túy và cai nghiện ma túy trên địa bàn thành phố Đà Nẵng.</w:t>
      </w:r>
    </w:p>
    <w:p>
      <w:pPr>
        <w:bidi w:val="0"/>
        <w:spacing w:before="120" w:beforeAutospacing="0" w:after="280" w:afterAutospacing="1"/>
      </w:pPr>
      <w:bookmarkStart w:id="2" w:name="dieu_1"/>
      <w:r>
        <w:rPr>
          <w:b/>
          <w:bCs/>
          <w:rtl w:val="0"/>
        </w:rPr>
        <w:t>Điều 1. Phạm vi điều chỉnh, đối tượng áp dụng</w:t>
      </w:r>
      <w:bookmarkEnd w:id="2"/>
    </w:p>
    <w:p>
      <w:pPr>
        <w:bidi w:val="0"/>
        <w:spacing w:before="120" w:beforeAutospacing="0" w:after="280" w:afterAutospacing="1"/>
      </w:pPr>
      <w:r>
        <w:rPr>
          <w:rtl w:val="0"/>
        </w:rPr>
        <w:t>1. Phạm vi điều chỉnh</w:t>
      </w:r>
    </w:p>
    <w:p>
      <w:pPr>
        <w:bidi w:val="0"/>
        <w:spacing w:before="120" w:beforeAutospacing="0" w:after="280" w:afterAutospacing="1"/>
      </w:pPr>
      <w:r>
        <w:rPr>
          <w:rtl w:val="0"/>
        </w:rPr>
        <w:t>Quy định mức chi đặc thù hỗ trợ công tác phòng, chống ma túy và cai nghiện ma túy trên địa bàn thành phố Đà Nẵng giai đoạn 2026 - 2030.</w:t>
      </w:r>
    </w:p>
    <w:p>
      <w:pPr>
        <w:bidi w:val="0"/>
        <w:spacing w:before="120" w:beforeAutospacing="0" w:after="280" w:afterAutospacing="1"/>
      </w:pPr>
      <w:r>
        <w:rPr>
          <w:rtl w:val="0"/>
        </w:rPr>
        <w:t>2. Đối tượng áp dụng</w:t>
      </w:r>
    </w:p>
    <w:p>
      <w:pPr>
        <w:bidi w:val="0"/>
        <w:spacing w:before="120" w:beforeAutospacing="0" w:after="280" w:afterAutospacing="1"/>
      </w:pPr>
      <w:r>
        <w:rPr>
          <w:rtl w:val="0"/>
        </w:rPr>
        <w:t>a) Phó Giám đốc Công an thành phố phụ trách công tác đấu tranh phòng, chống ma túy; lãnh đạo, chỉ huy, cán bộ, chiến sỹ, người lao động thuộc Phòng Cảnh sát điều tra tội phạm về ma túy Công an thành phố.</w:t>
      </w:r>
    </w:p>
    <w:p>
      <w:pPr>
        <w:bidi w:val="0"/>
        <w:spacing w:before="120" w:beforeAutospacing="0" w:after="280" w:afterAutospacing="1"/>
      </w:pPr>
      <w:r>
        <w:rPr>
          <w:rtl w:val="0"/>
        </w:rPr>
        <w:t>b) Chỉ huy, cán bộ, chiến sỹ thuộc Công an cấp xã trên địa bàn thành phố chuyên trách, trực tiếp chỉ đạo, đấu tranh phòng, chống tội phạm ma túy.</w:t>
      </w:r>
    </w:p>
    <w:p>
      <w:pPr>
        <w:bidi w:val="0"/>
        <w:spacing w:before="120" w:beforeAutospacing="0" w:after="280" w:afterAutospacing="1"/>
      </w:pPr>
      <w:r>
        <w:rPr>
          <w:rtl w:val="0"/>
        </w:rPr>
        <w:t>c) Lãnh đạo, chỉ huy, cán bộ, chiến sĩ thuộc Ban Chỉ huy Bộ đội Biên phòng thành phố Đà Nẵng trực tiếp chỉ đạo, đấu tranh phòng, chống tội phạm ma túy, gồm: Chỉ huy trưởng, Phó Chỉ huy trưởng nghiệp vụ thuộc Ban Chỉ huy Bộ đội Biên phòng thành phố; Trưởng phòng, Phó Trưởng phòng, cán bộ, chiến sĩ Phòng Nghiệp vụ thuộc Ban Chỉ huy Bộ đội Biên phòng thành phố; Chỉ huy trưởng, Phó Chỉ huy trưởng nghiệp vụ thuộc Ban Chỉ huy Biên phòng cửa khẩu Cảng Đà Nẵng; Đồn trưởng, Phó Đồn trưởng nghiệp vụ các Đồn Biên phòng trên địa bàn thành phố; Trưởng ban, Phó Trưởng ban, cán bộ, chiến sĩ Ban Phòng, chống ma túy và tội phạm thuộc Ban Chỉ huy Biên phòng cửa khẩu Cảng Đà Nẵng; Đội Trưởng, Phó Đội trưởng, cán bộ, chiến sĩ Đội Phòng, chống ma túy và tội phạm các Đồn Biên phòng trên địa bàn thành phố.</w:t>
      </w:r>
    </w:p>
    <w:p>
      <w:pPr>
        <w:bidi w:val="0"/>
        <w:spacing w:before="120" w:beforeAutospacing="0" w:after="280" w:afterAutospacing="1"/>
      </w:pPr>
      <w:bookmarkStart w:id="3" w:name="dieu_2"/>
      <w:r>
        <w:rPr>
          <w:b/>
          <w:bCs/>
          <w:rtl w:val="0"/>
        </w:rPr>
        <w:t>Điều 2. Mức chi đặc thù</w:t>
      </w:r>
      <w:bookmarkEnd w:id="3"/>
    </w:p>
    <w:p>
      <w:pPr>
        <w:bidi w:val="0"/>
        <w:spacing w:before="120" w:beforeAutospacing="0" w:after="280" w:afterAutospacing="1"/>
      </w:pPr>
      <w:r>
        <w:rPr>
          <w:rtl w:val="0"/>
        </w:rPr>
        <w:t>1. Đối tượng quy định tại khoản 2 Điều 1 Nghị quyết này được hỗ trợ 4.000.000 đồng/người/tháng.</w:t>
      </w:r>
    </w:p>
    <w:p>
      <w:pPr>
        <w:bidi w:val="0"/>
        <w:spacing w:before="120" w:beforeAutospacing="0" w:after="280" w:afterAutospacing="1"/>
      </w:pPr>
      <w:r>
        <w:rPr>
          <w:rtl w:val="0"/>
        </w:rPr>
        <w:t>2. Trường hợp đối tượng quy định tại khoản 2 Điều 1 Nghị quyết này là bác sĩ tại cơ sở cai nghiện công lập được hỗ trợ 10.000.000 đồng/người/tháng.</w:t>
      </w:r>
    </w:p>
    <w:p>
      <w:pPr>
        <w:bidi w:val="0"/>
        <w:spacing w:before="120" w:beforeAutospacing="0" w:after="280" w:afterAutospacing="1"/>
      </w:pPr>
      <w:bookmarkStart w:id="4" w:name="dieu_3"/>
      <w:r>
        <w:rPr>
          <w:b/>
          <w:bCs/>
          <w:rtl w:val="0"/>
        </w:rPr>
        <w:t>Điều 3. Kinh phí thực hiện</w:t>
      </w:r>
      <w:bookmarkEnd w:id="4"/>
    </w:p>
    <w:p>
      <w:pPr>
        <w:bidi w:val="0"/>
        <w:spacing w:before="120" w:beforeAutospacing="0" w:after="280" w:afterAutospacing="1"/>
      </w:pPr>
      <w:r>
        <w:rPr>
          <w:rtl w:val="0"/>
        </w:rPr>
        <w:t>1. Ngân sách thành phố đảm bảo theo phân cấp.</w:t>
      </w:r>
    </w:p>
    <w:p>
      <w:pPr>
        <w:bidi w:val="0"/>
        <w:spacing w:before="120" w:beforeAutospacing="0" w:after="280" w:afterAutospacing="1"/>
      </w:pPr>
      <w:r>
        <w:rPr>
          <w:rtl w:val="0"/>
        </w:rPr>
        <w:t>2. Việc lập dự toán, quản lý, sử dụng, thanh toán, quyết toán kinh phí thực hiện theo các quy định hiện hành của nhà nước.</w:t>
      </w:r>
    </w:p>
    <w:p>
      <w:pPr>
        <w:bidi w:val="0"/>
        <w:spacing w:before="120" w:beforeAutospacing="0" w:after="280" w:afterAutospacing="1"/>
      </w:pPr>
      <w:bookmarkStart w:id="5" w:name="dieu_4"/>
      <w:r>
        <w:rPr>
          <w:b/>
          <w:bCs/>
          <w:rtl w:val="0"/>
        </w:rPr>
        <w:t>Điều 4. Điều khoản thi hành</w:t>
      </w:r>
      <w:bookmarkEnd w:id="5"/>
    </w:p>
    <w:p>
      <w:pPr>
        <w:bidi w:val="0"/>
        <w:spacing w:before="120" w:beforeAutospacing="0" w:after="280" w:afterAutospacing="1"/>
      </w:pPr>
      <w:r>
        <w:rPr>
          <w:rtl w:val="0"/>
        </w:rPr>
        <w:t>1. Nghị quyết này có hiệu lực thi hành kể từ ngày 01 tháng 5 năm 2026 đến hết ngày 31 tháng 12 năm 2030; thay thế Nghị quyết số 197/2018/NQ-HĐND ngày 19 tháng 12 năm 2018 của Hội đồng nhân dân thành phố Đà Nẵng quy định mức trợ cấp đặc thù đối với công chức, viên chức và người lao động làm việc tại các cơ sở quản lý người nghiện ma túy và người sau cai nghiện ma túy trên địa bàn thành phố Đà Nẵng.</w:t>
      </w:r>
    </w:p>
    <w:p>
      <w:pPr>
        <w:bidi w:val="0"/>
        <w:spacing w:before="120" w:beforeAutospacing="0" w:after="280" w:afterAutospacing="1"/>
      </w:pPr>
      <w:r>
        <w:rPr>
          <w:rtl w:val="0"/>
        </w:rPr>
        <w:t>2. Trong quá trình thực hiện, trường hợp có các quy định mới của Trung ương hoặc phát sinh vướng mắc, bất cập, Ủy ban nhân dân thành phố tổng hợp, đề nghị Thường trực Hội đồng nhân dân thành phố hướng dẫn áp dụng Nghị quyết theo thẩm quyền quy định tại Điều 61 Luật Ban hành văn bản quy phạm pháp luật. Trường hợp cần điều chỉnh, bổ sung Nghị quyết thì Ủy ban nhân dân thành phố phối hợp Thường trực Hội đồng nhân dân tổng hợp, trình Hội đồng nhân dân thành phố xem xét, quyết định theo thẩm quyền.</w:t>
      </w:r>
    </w:p>
    <w:p>
      <w:pPr>
        <w:bidi w:val="0"/>
        <w:spacing w:before="120" w:beforeAutospacing="0" w:after="280" w:afterAutospacing="1"/>
      </w:pPr>
      <w:bookmarkStart w:id="6" w:name="dieu_5"/>
      <w:r>
        <w:rPr>
          <w:b/>
          <w:bCs/>
          <w:rtl w:val="0"/>
        </w:rPr>
        <w:t>Điều 5. Tổ chức thực hiện</w:t>
      </w:r>
      <w:bookmarkEnd w:id="6"/>
    </w:p>
    <w:p>
      <w:pPr>
        <w:bidi w:val="0"/>
        <w:spacing w:before="120" w:beforeAutospacing="0" w:after="280" w:afterAutospacing="1"/>
      </w:pPr>
      <w:r>
        <w:rPr>
          <w:rtl w:val="0"/>
        </w:rPr>
        <w:t>1. Giao Ủy ban nhân dân thành phố:</w:t>
      </w:r>
    </w:p>
    <w:p>
      <w:pPr>
        <w:bidi w:val="0"/>
        <w:spacing w:before="120" w:beforeAutospacing="0" w:after="280" w:afterAutospacing="1"/>
      </w:pPr>
      <w:r>
        <w:rPr>
          <w:rtl w:val="0"/>
        </w:rPr>
        <w:t>a) Tổ chức triển khai, hướng dẫn thực hiện Nghị quyết kịp thời, hiệu quả, đúng đối tượng, đảm bảo đạt mục tiêu đề ra đến năm 2030;</w:t>
      </w:r>
    </w:p>
    <w:p>
      <w:pPr>
        <w:bidi w:val="0"/>
        <w:spacing w:before="120" w:beforeAutospacing="0" w:after="280" w:afterAutospacing="1"/>
      </w:pPr>
      <w:r>
        <w:rPr>
          <w:rtl w:val="0"/>
        </w:rPr>
        <w:t>b) Định kỳ hằng năm báo cáo Hội đồng nhân dân thành phố kết quả thực hiện Nghị quyết tại kỳ họp thường lệ cuối năm.</w:t>
      </w:r>
    </w:p>
    <w:p>
      <w:pPr>
        <w:bidi w:val="0"/>
        <w:spacing w:before="120" w:beforeAutospacing="0" w:after="280" w:afterAutospacing="1"/>
      </w:pPr>
      <w:r>
        <w:rPr>
          <w:rtl w:val="0"/>
        </w:rPr>
        <w:t>c) Tiếp tục rà soát các quy định hiện hành về chế độ, chính sách hỗ trợ cai nghiện ma túy và quản lý sau cai nghiện ma túy để trình Hội đồng nhân dân thành phố xem xét, quyết định theo thẩm quyền đảm bảo đồng bộ, thống nhất về chính sách, góp phần nâng cao hiệu quả công tác cai nghiện trên địa bàn thành phố trong thời gian đến.</w:t>
      </w:r>
    </w:p>
    <w:p>
      <w:pPr>
        <w:bidi w:val="0"/>
        <w:spacing w:before="120" w:beforeAutospacing="0" w:after="280" w:afterAutospacing="1"/>
      </w:pPr>
      <w:r>
        <w:rPr>
          <w:rtl w:val="0"/>
        </w:rPr>
        <w:t>2. Thường trực Hội đồng nhân dân thành phố, các Ban của Hội đồng nhân dân, các Tổ đại biểu và đại biểu Hội đồng nhân dân thành phố giám sát việc thực hiện Nghị quyết.</w:t>
      </w:r>
    </w:p>
    <w:p>
      <w:pPr>
        <w:bidi w:val="0"/>
        <w:spacing w:before="120" w:beforeAutospacing="0" w:after="280" w:afterAutospacing="1"/>
      </w:pPr>
      <w:r>
        <w:rPr>
          <w:rtl w:val="0"/>
        </w:rPr>
        <w:t>3. Đề nghị Ủy ban Mặt trận Tổ quốc Việt Nam thành phố phối hợp giám sát việc tổ chức triển khai, thực hiện.</w:t>
      </w:r>
    </w:p>
    <w:p>
      <w:pPr>
        <w:bidi w:val="0"/>
        <w:spacing w:before="120" w:beforeAutospacing="0" w:after="280" w:afterAutospacing="1"/>
      </w:pPr>
      <w:r>
        <w:rPr>
          <w:rtl w:val="0"/>
        </w:rPr>
        <w:t>Nghị quyết này được Hội đồng nhân dân thành phố Đà Nẵng khóa XI, nhiệm kỳ 2026 - 2031, Kỳ họp thứ nhất thông qua ngày 14 tháng 4 năm 2026./.</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VP Chính phủ, VP Chủ tịch nước;</w:t>
            </w:r>
            <w:r>
              <w:rPr>
                <w:sz w:val="16"/>
                <w:rtl w:val="0"/>
              </w:rPr>
              <w:br/>
            </w:r>
            <w:r>
              <w:rPr>
                <w:sz w:val="16"/>
                <w:rtl w:val="0"/>
              </w:rPr>
              <w:t>- Các Bộ: Tài chính, Tư pháp, Quốc phòng;</w:t>
            </w:r>
            <w:r>
              <w:rPr>
                <w:sz w:val="16"/>
                <w:rtl w:val="0"/>
              </w:rPr>
              <w:br/>
            </w:r>
            <w:r>
              <w:rPr>
                <w:sz w:val="16"/>
                <w:rtl w:val="0"/>
              </w:rPr>
              <w:t>- Vụ pháp chế các Bộ: Quốc phòng, Tài chính;</w:t>
            </w:r>
            <w:r>
              <w:rPr>
                <w:sz w:val="16"/>
                <w:rtl w:val="0"/>
              </w:rPr>
              <w:br/>
            </w:r>
            <w:r>
              <w:rPr>
                <w:sz w:val="16"/>
                <w:rtl w:val="0"/>
              </w:rPr>
              <w:t>- Cục KTVB và TCTHPL - Bộ Tư pháp;</w:t>
            </w:r>
            <w:r>
              <w:rPr>
                <w:sz w:val="16"/>
                <w:rtl w:val="0"/>
              </w:rPr>
              <w:br/>
            </w:r>
            <w:r>
              <w:rPr>
                <w:sz w:val="16"/>
                <w:rtl w:val="0"/>
              </w:rPr>
              <w:t>- Ban Thường vụ Thành ủy;</w:t>
            </w:r>
            <w:r>
              <w:rPr>
                <w:sz w:val="16"/>
                <w:rtl w:val="0"/>
              </w:rPr>
              <w:br/>
            </w:r>
            <w:r>
              <w:rPr>
                <w:sz w:val="16"/>
                <w:rtl w:val="0"/>
              </w:rPr>
              <w:t>- Thường trực HĐND thành phố;</w:t>
            </w:r>
            <w:r>
              <w:rPr>
                <w:sz w:val="16"/>
                <w:rtl w:val="0"/>
              </w:rPr>
              <w:br/>
            </w:r>
            <w:r>
              <w:rPr>
                <w:sz w:val="16"/>
                <w:rtl w:val="0"/>
              </w:rPr>
              <w:t>- UBND, UBMTTQVN thành phố;</w:t>
            </w:r>
            <w:r>
              <w:rPr>
                <w:sz w:val="16"/>
                <w:rtl w:val="0"/>
              </w:rPr>
              <w:br/>
            </w:r>
            <w:r>
              <w:rPr>
                <w:sz w:val="16"/>
                <w:rtl w:val="0"/>
              </w:rPr>
              <w:t>- Đoàn ĐBQH thành phố;</w:t>
            </w:r>
            <w:r>
              <w:rPr>
                <w:sz w:val="16"/>
                <w:rtl w:val="0"/>
              </w:rPr>
              <w:br/>
            </w:r>
            <w:r>
              <w:rPr>
                <w:sz w:val="16"/>
                <w:rtl w:val="0"/>
              </w:rPr>
              <w:t>- Các cơ quan tham mưu giúp việc Thành ủy;</w:t>
            </w:r>
            <w:r>
              <w:rPr>
                <w:sz w:val="16"/>
                <w:rtl w:val="0"/>
              </w:rPr>
              <w:br/>
            </w:r>
            <w:r>
              <w:rPr>
                <w:sz w:val="16"/>
                <w:rtl w:val="0"/>
              </w:rPr>
              <w:t>- Các Ban của HĐND thành phố;</w:t>
            </w:r>
            <w:r>
              <w:rPr>
                <w:sz w:val="16"/>
                <w:rtl w:val="0"/>
              </w:rPr>
              <w:br/>
            </w:r>
            <w:r>
              <w:rPr>
                <w:sz w:val="16"/>
                <w:rtl w:val="0"/>
              </w:rPr>
              <w:t>- Đại biểu HĐND thành phố;</w:t>
            </w:r>
            <w:r>
              <w:rPr>
                <w:sz w:val="16"/>
                <w:rtl w:val="0"/>
              </w:rPr>
              <w:br/>
            </w:r>
            <w:r>
              <w:rPr>
                <w:sz w:val="16"/>
                <w:rtl w:val="0"/>
              </w:rPr>
              <w:t>- Văn phòng ĐĐBQH và HĐND thành phố;</w:t>
            </w:r>
            <w:r>
              <w:rPr>
                <w:sz w:val="16"/>
                <w:rtl w:val="0"/>
              </w:rPr>
              <w:br/>
            </w:r>
            <w:r>
              <w:rPr>
                <w:sz w:val="16"/>
                <w:rtl w:val="0"/>
              </w:rPr>
              <w:t>- Văn phòng UBND thành phố;</w:t>
            </w:r>
            <w:r>
              <w:rPr>
                <w:sz w:val="16"/>
                <w:rtl w:val="0"/>
              </w:rPr>
              <w:br/>
            </w:r>
            <w:r>
              <w:rPr>
                <w:sz w:val="16"/>
                <w:rtl w:val="0"/>
              </w:rPr>
              <w:t>- Các Sở, ban, ngành, đoàn thể thành phố;</w:t>
            </w:r>
            <w:r>
              <w:rPr>
                <w:sz w:val="16"/>
                <w:rtl w:val="0"/>
              </w:rPr>
              <w:br/>
            </w:r>
            <w:r>
              <w:rPr>
                <w:sz w:val="16"/>
                <w:rtl w:val="0"/>
              </w:rPr>
              <w:t>- Đảng ủy, HĐND, UBND, UBMTTQVN các xã, phường;</w:t>
            </w:r>
            <w:r>
              <w:rPr>
                <w:sz w:val="16"/>
                <w:rtl w:val="0"/>
              </w:rPr>
              <w:br/>
            </w:r>
            <w:r>
              <w:rPr>
                <w:sz w:val="16"/>
                <w:rtl w:val="0"/>
              </w:rPr>
              <w:t>- UBND đặc khu Hoàng Sa;</w:t>
            </w:r>
            <w:r>
              <w:rPr>
                <w:sz w:val="16"/>
                <w:rtl w:val="0"/>
              </w:rPr>
              <w:br/>
            </w:r>
            <w:r>
              <w:rPr>
                <w:sz w:val="16"/>
                <w:rtl w:val="0"/>
              </w:rPr>
              <w:t>- Báo và PT, TH Đà Nẵng, Trung tâm THVN (VTV8), Cổng TTĐT thành phố;</w:t>
            </w:r>
            <w:r>
              <w:rPr>
                <w:sz w:val="16"/>
                <w:rtl w:val="0"/>
              </w:rPr>
              <w:br/>
            </w:r>
            <w:r>
              <w:rPr>
                <w:sz w:val="16"/>
                <w:rtl w:val="0"/>
              </w:rPr>
              <w:t>- Lưu: VT, CTHĐ.</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Nguyễn Đức Dũng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