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22" w:rsidRPr="00F80922" w:rsidRDefault="00F80922" w:rsidP="00F80922">
      <w:pPr>
        <w:pStyle w:val="ListParagraph"/>
        <w:numPr>
          <w:ilvl w:val="0"/>
          <w:numId w:val="1"/>
        </w:numPr>
        <w:rPr>
          <w:b/>
        </w:rPr>
      </w:pPr>
      <w:r w:rsidRPr="00F80922">
        <w:rPr>
          <w:b/>
        </w:rPr>
        <w:t>NON-DIMENSIONALIZING</w:t>
      </w:r>
    </w:p>
    <w:p w:rsidR="00D34EF0" w:rsidRDefault="00D34EF0">
      <w:r>
        <w:t>This is the process of non-dimensionalizing the shear stress equation</w:t>
      </w:r>
    </w:p>
    <w:p w:rsidR="00D34EF0" w:rsidRPr="00E0479C" w:rsidRDefault="00062F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E0479C" w:rsidRPr="00E0479C" w:rsidRDefault="00E04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0479C" w:rsidRPr="00D34EF0" w:rsidRDefault="00E04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34EF0" w:rsidRDefault="00D34EF0">
      <w:pPr>
        <w:rPr>
          <w:rFonts w:eastAsiaTheme="minorEastAsia"/>
        </w:rPr>
      </w:pPr>
      <w:r>
        <w:rPr>
          <w:rFonts w:eastAsiaTheme="minorEastAsia"/>
        </w:rPr>
        <w:t>Where the dimensionless parameters are:</w:t>
      </w:r>
    </w:p>
    <w:p w:rsidR="00D34EF0" w:rsidRPr="00D34EF0" w:rsidRDefault="00062FD8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D34EF0" w:rsidRDefault="007D4CAE">
      <w:pPr>
        <w:rPr>
          <w:rFonts w:eastAsiaTheme="minorEastAsia"/>
        </w:rPr>
      </w:pPr>
      <w:r>
        <w:rPr>
          <w:rFonts w:eastAsiaTheme="minorEastAsia"/>
        </w:rPr>
        <w:t>Substituting and simplifying:</w:t>
      </w:r>
    </w:p>
    <w:p w:rsidR="00D34EF0" w:rsidRPr="00E0479C" w:rsidRDefault="00062F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xy</m:t>
              </m:r>
              <m:r>
                <w:rPr>
                  <w:rFonts w:ascii="Cambria Math" w:hAnsi="Cambria Math"/>
                </w:rPr>
                <m:t>_dimensionless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0479C" w:rsidRDefault="00E0479C">
      <w:pPr>
        <w:rPr>
          <w:rFonts w:eastAsiaTheme="minorEastAsia"/>
        </w:rPr>
      </w:pPr>
      <w:r>
        <w:rPr>
          <w:rFonts w:eastAsiaTheme="minorEastAsia"/>
        </w:rPr>
        <w:t>Similarly:</w:t>
      </w:r>
    </w:p>
    <w:p w:rsidR="00E0479C" w:rsidRPr="00E0479C" w:rsidRDefault="00E04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x_dimensionless 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0479C" w:rsidRPr="007D4CAE" w:rsidRDefault="00E04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y_dimensionless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46D1B" w:rsidRDefault="00546D1B">
      <w:pPr>
        <w:rPr>
          <w:rFonts w:eastAsiaTheme="minorEastAsia"/>
        </w:rPr>
      </w:pPr>
      <w:r>
        <w:rPr>
          <w:rFonts w:eastAsiaTheme="minorEastAsia"/>
        </w:rPr>
        <w:t>The maximum shear stress, according to the Mechanics of Material textbook, is given by:</w:t>
      </w:r>
    </w:p>
    <w:p w:rsidR="00546D1B" w:rsidRPr="00546D1B" w:rsidRDefault="00546D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546D1B" w:rsidRDefault="00546D1B">
      <w:pPr>
        <w:rPr>
          <w:rFonts w:eastAsiaTheme="minorEastAsia"/>
        </w:rPr>
      </w:pPr>
      <w:r>
        <w:rPr>
          <w:rFonts w:eastAsiaTheme="minorEastAsia"/>
        </w:rPr>
        <w:t xml:space="preserve">Therefore, after rearranging and simplifying: </w:t>
      </w:r>
    </w:p>
    <w:p w:rsidR="00546D1B" w:rsidRPr="00307D42" w:rsidRDefault="00546D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=z(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7D4CAE" w:rsidRDefault="007D4CAE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7D4CAE" w:rsidRDefault="007D4CAE">
      <w:pPr>
        <w:rPr>
          <w:rFonts w:eastAsiaTheme="minorEastAsia"/>
        </w:rPr>
      </w:pPr>
      <w:r>
        <w:rPr>
          <w:rFonts w:eastAsiaTheme="minorEastAsia"/>
        </w:rPr>
        <w:t xml:space="preserve">z = the function to be called in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code </w:t>
      </w:r>
    </w:p>
    <w:p w:rsidR="007D4CAE" w:rsidRPr="007D4CAE" w:rsidRDefault="007D4CA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0≤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≤3</m:t>
        </m:r>
      </m:oMath>
      <w:r>
        <w:rPr>
          <w:rFonts w:eastAsiaTheme="minorEastAsia"/>
        </w:rPr>
        <w:t xml:space="preserve"> </w:t>
      </w:r>
    </w:p>
    <w:p w:rsidR="007D4CAE" w:rsidRDefault="007D4CAE">
      <m:oMath>
        <m:r>
          <w:rPr>
            <w:rFonts w:ascii="Cambria Math" w:hAnsi="Cambria Math"/>
          </w:rPr>
          <m:t xml:space="preserve">-2≤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≤2</m:t>
        </m:r>
      </m:oMath>
      <w:r>
        <w:t xml:space="preserve"> </w:t>
      </w:r>
    </w:p>
    <w:p w:rsidR="00307D42" w:rsidRDefault="00307D42"/>
    <w:p w:rsidR="00307D42" w:rsidRDefault="00307D42"/>
    <w:p w:rsidR="00F80922" w:rsidRDefault="00F80922" w:rsidP="00F80922">
      <w:pPr>
        <w:pStyle w:val="ListParagraph"/>
        <w:numPr>
          <w:ilvl w:val="0"/>
          <w:numId w:val="1"/>
        </w:numPr>
        <w:rPr>
          <w:b/>
        </w:rPr>
      </w:pPr>
      <w:r w:rsidRPr="00F80922">
        <w:rPr>
          <w:b/>
        </w:rPr>
        <w:lastRenderedPageBreak/>
        <w:t xml:space="preserve">COMMENTS ON RESULTS </w:t>
      </w:r>
    </w:p>
    <w:p w:rsidR="00F80922" w:rsidRDefault="00EB77B4" w:rsidP="00F80922">
      <w:r>
        <w:t xml:space="preserve">It can be seen from the plots that the </w:t>
      </w:r>
      <w:r w:rsidR="001E6B55">
        <w:t>non-dimensional shear stress is the greatest at around the origin.  From the 3D surface plot, a sharp spike is seen in the middle of the X-Y plane.  The fact that it is red indicating that the shear stress is the maximum.  Additionally, the 2D contour plot, which shows a top view of the previous surface plot, indicates very clearly that the maximum value of the shear st</w:t>
      </w:r>
      <w:r w:rsidR="00590A51">
        <w:t xml:space="preserve">ress occurs around the origin.  </w:t>
      </w:r>
      <w:r w:rsidR="00865EEB">
        <w:t xml:space="preserve">It could be said that due to the nature of the applied force, which acts on a particular location, the plots have those shapes.  If the force is applied evenly across the plate, then we will not be able to see interesting feature such as the spike.  </w:t>
      </w:r>
      <w:r w:rsidR="00D87DEB">
        <w:t xml:space="preserve">Another interesting concept would be that the contours follow circular patterns.  This means that for an arbitrary force, the result would always follow such patterns.  Additionally, this circular pattern shows a strong resemblance with the Mohr’s circle, which connects the shear stress and normal stresses and is also circular.  </w:t>
      </w:r>
    </w:p>
    <w:p w:rsidR="00062FD8" w:rsidRPr="00062FD8" w:rsidRDefault="00062FD8" w:rsidP="00062F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REFERENCES</w:t>
      </w:r>
      <w:r>
        <w:rPr>
          <w:b/>
        </w:rPr>
        <w:br/>
      </w:r>
    </w:p>
    <w:p w:rsidR="00062FD8" w:rsidRPr="00062FD8" w:rsidRDefault="00062FD8" w:rsidP="00062FD8">
      <w:pPr>
        <w:pStyle w:val="ListParagraph"/>
        <w:rPr>
          <w:b/>
        </w:rPr>
      </w:pPr>
      <w:bookmarkStart w:id="0" w:name="_GoBack"/>
      <w:bookmarkEnd w:id="0"/>
      <w:r>
        <w:t xml:space="preserve">Beer, Ferdinand P. </w:t>
      </w:r>
      <w:r>
        <w:rPr>
          <w:i/>
          <w:iCs/>
        </w:rPr>
        <w:t>Mechanics of Materials</w:t>
      </w:r>
      <w:r>
        <w:t>. New York: McGraw-Hill, 2011. Print.</w:t>
      </w:r>
    </w:p>
    <w:p w:rsidR="00F80922" w:rsidRPr="00F80922" w:rsidRDefault="00F80922">
      <w:pPr>
        <w:rPr>
          <w:b/>
        </w:rPr>
      </w:pPr>
    </w:p>
    <w:sectPr w:rsidR="00F80922" w:rsidRPr="00F8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96A13"/>
    <w:multiLevelType w:val="hybridMultilevel"/>
    <w:tmpl w:val="D542D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F0"/>
    <w:rsid w:val="00062FD8"/>
    <w:rsid w:val="001E6B55"/>
    <w:rsid w:val="00307D42"/>
    <w:rsid w:val="00546D1B"/>
    <w:rsid w:val="00590A51"/>
    <w:rsid w:val="007D4CAE"/>
    <w:rsid w:val="00865EEB"/>
    <w:rsid w:val="00D34EF0"/>
    <w:rsid w:val="00D87DEB"/>
    <w:rsid w:val="00E0479C"/>
    <w:rsid w:val="00EB77B4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276EC-55B8-42AC-A11D-D44F17CC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EF0"/>
    <w:rPr>
      <w:color w:val="808080"/>
    </w:rPr>
  </w:style>
  <w:style w:type="paragraph" w:styleId="ListParagraph">
    <w:name w:val="List Paragraph"/>
    <w:basedOn w:val="Normal"/>
    <w:uiPriority w:val="34"/>
    <w:qFormat/>
    <w:rsid w:val="00F8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 Le</dc:creator>
  <cp:keywords/>
  <dc:description/>
  <cp:lastModifiedBy>maxle</cp:lastModifiedBy>
  <cp:revision>10</cp:revision>
  <dcterms:created xsi:type="dcterms:W3CDTF">2016-02-03T19:46:00Z</dcterms:created>
  <dcterms:modified xsi:type="dcterms:W3CDTF">2016-02-04T03:14:00Z</dcterms:modified>
</cp:coreProperties>
</file>