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BÀI THỰC HÀNH 1</w:t>
        <w:br/>
        <w:t>ƯỚC LƯỢNG STORY POINT VÀ THIẾT LẬP SPRINT GOAL</w:t>
      </w:r>
    </w:p>
    <w:p>
      <w:r>
        <w:rPr>
          <w:b/>
        </w:rPr>
        <w:t xml:space="preserve">Dự án: </w:t>
      </w:r>
      <w:r>
        <w:t>Ứng dụng giao đồ ăn GoFood</w:t>
      </w:r>
    </w:p>
    <w:p>
      <w:r>
        <w:rPr>
          <w:b/>
        </w:rPr>
        <w:t xml:space="preserve">Sprint: </w:t>
      </w:r>
      <w:r>
        <w:t>Sprint 1 – Thời lượng 2 tuần</w:t>
      </w:r>
    </w:p>
    <w:p>
      <w:r>
        <w:rPr>
          <w:b/>
        </w:rPr>
        <w:t xml:space="preserve">Story mốc (Reference Story): </w:t>
      </w:r>
      <w:r>
        <w:t>US02 = 2 points</w:t>
      </w:r>
    </w:p>
    <w:p>
      <w:pPr>
        <w:pStyle w:val="Heading1"/>
      </w:pPr>
      <w:r>
        <w:t>Bước 1. Ước lượng Story Point</w:t>
      </w:r>
    </w:p>
    <w:p>
      <w:r>
        <w:t>Nhóm sử dụng dãy Fibonacci sửa đổi (0.5, 1, 2, 3, 5, 8, 13, 20, 40, 100) và so sánh độ phức tạp, rủi ro, nỗ lực của từng User Story với US02.</w:t>
      </w:r>
    </w:p>
    <w:tbl>
      <w:tblPr>
        <w:tblStyle w:val="TableGrid"/>
        <w:tblW w:type="auto" w:w="0"/>
        <w:jc w:val="center"/>
        <w:tblLook w:firstColumn="1" w:firstRow="1" w:lastColumn="0" w:lastRow="0" w:noHBand="0" w:noVBand="1" w:val="04A0"/>
      </w:tblPr>
      <w:tblGrid>
        <w:gridCol w:w="3312"/>
        <w:gridCol w:w="3312"/>
        <w:gridCol w:w="3312"/>
      </w:tblGrid>
      <w:tr>
        <w:tc>
          <w:tcPr>
            <w:tcW w:type="dxa" w:w="3168"/>
          </w:tcPr>
          <w:p>
            <w:r>
              <w:rPr>
                <w:rFonts w:ascii="Times New Roman" w:hAnsi="Times New Roman"/>
                <w:b/>
              </w:rPr>
              <w:t>User Story</w:t>
            </w:r>
          </w:p>
        </w:tc>
        <w:tc>
          <w:tcPr>
            <w:tcW w:type="dxa" w:w="1224"/>
          </w:tcPr>
          <w:p>
            <w:r>
              <w:rPr>
                <w:rFonts w:ascii="Times New Roman" w:hAnsi="Times New Roman"/>
                <w:b/>
              </w:rPr>
              <w:t>Story Point</w:t>
            </w:r>
          </w:p>
        </w:tc>
        <w:tc>
          <w:tcPr>
            <w:tcW w:type="dxa" w:w="6048"/>
          </w:tcPr>
          <w:p>
            <w:r>
              <w:rPr>
                <w:rFonts w:ascii="Times New Roman" w:hAnsi="Times New Roman"/>
                <w:b/>
              </w:rPr>
              <w:t>Lý do ước lượng</w:t>
            </w:r>
          </w:p>
        </w:tc>
      </w:tr>
      <w:tr>
        <w:tc>
          <w:tcPr>
            <w:tcW w:type="dxa" w:w="3168"/>
            <w:vAlign w:val="center"/>
          </w:tcPr>
          <w:p>
            <w:pPr>
              <w:spacing w:after="60"/>
            </w:pPr>
            <w:r>
              <w:rPr>
                <w:rFonts w:ascii="Times New Roman" w:hAnsi="Times New Roman"/>
                <w:sz w:val="21"/>
              </w:rPr>
              <w:t>US01 – Đăng nhập bằng số điện thoại và mật khẩu</w:t>
            </w:r>
          </w:p>
        </w:tc>
        <w:tc>
          <w:tcPr>
            <w:tcW w:type="dxa" w:w="1224"/>
            <w:vAlign w:val="center"/>
          </w:tcPr>
          <w:p>
            <w:pPr>
              <w:spacing w:after="60"/>
            </w:pPr>
            <w:r>
              <w:rPr>
                <w:rFonts w:ascii="Times New Roman" w:hAnsi="Times New Roman"/>
                <w:sz w:val="21"/>
              </w:rPr>
              <w:t>2</w:t>
            </w:r>
          </w:p>
        </w:tc>
        <w:tc>
          <w:tcPr>
            <w:tcW w:type="dxa" w:w="6048"/>
            <w:vAlign w:val="center"/>
          </w:tcPr>
          <w:p>
            <w:pPr>
              <w:spacing w:after="60"/>
            </w:pPr>
            <w:r>
              <w:rPr>
                <w:rFonts w:ascii="Times New Roman" w:hAnsi="Times New Roman"/>
                <w:sz w:val="21"/>
              </w:rPr>
              <w:t>Tương đương US02 vì cần xây dựng form đăng nhập và kiểm tra thông tin; chưa có OTP nên độ phức tạp tương đối thấp.</w:t>
            </w:r>
          </w:p>
        </w:tc>
      </w:tr>
      <w:tr>
        <w:tc>
          <w:tcPr>
            <w:tcW w:type="dxa" w:w="3168"/>
            <w:vAlign w:val="center"/>
          </w:tcPr>
          <w:p>
            <w:pPr>
              <w:spacing w:after="60"/>
            </w:pPr>
            <w:r>
              <w:rPr>
                <w:rFonts w:ascii="Times New Roman" w:hAnsi="Times New Roman"/>
                <w:sz w:val="21"/>
              </w:rPr>
              <w:t>US02 – Xem danh sách món ăn và giá tiền</w:t>
            </w:r>
          </w:p>
        </w:tc>
        <w:tc>
          <w:tcPr>
            <w:tcW w:type="dxa" w:w="1224"/>
            <w:vAlign w:val="center"/>
          </w:tcPr>
          <w:p>
            <w:pPr>
              <w:spacing w:after="60"/>
            </w:pPr>
            <w:r>
              <w:rPr>
                <w:rFonts w:ascii="Times New Roman" w:hAnsi="Times New Roman"/>
                <w:sz w:val="21"/>
              </w:rPr>
              <w:t>2</w:t>
            </w:r>
          </w:p>
        </w:tc>
        <w:tc>
          <w:tcPr>
            <w:tcW w:type="dxa" w:w="6048"/>
            <w:vAlign w:val="center"/>
          </w:tcPr>
          <w:p>
            <w:pPr>
              <w:spacing w:after="60"/>
            </w:pPr>
            <w:r>
              <w:rPr>
                <w:rFonts w:ascii="Times New Roman" w:hAnsi="Times New Roman"/>
                <w:sz w:val="21"/>
              </w:rPr>
              <w:t>Đây là Story mốc của đội, dùng để so sánh với các User Story còn lại.</w:t>
            </w:r>
          </w:p>
        </w:tc>
      </w:tr>
      <w:tr>
        <w:tc>
          <w:tcPr>
            <w:tcW w:type="dxa" w:w="3168"/>
            <w:vAlign w:val="center"/>
          </w:tcPr>
          <w:p>
            <w:pPr>
              <w:spacing w:after="60"/>
            </w:pPr>
            <w:r>
              <w:rPr>
                <w:rFonts w:ascii="Times New Roman" w:hAnsi="Times New Roman"/>
                <w:sz w:val="21"/>
              </w:rPr>
              <w:t>US03 – Tìm quán ăn gần vị trí GPS</w:t>
            </w:r>
          </w:p>
        </w:tc>
        <w:tc>
          <w:tcPr>
            <w:tcW w:type="dxa" w:w="1224"/>
            <w:vAlign w:val="center"/>
          </w:tcPr>
          <w:p>
            <w:pPr>
              <w:spacing w:after="60"/>
            </w:pPr>
            <w:r>
              <w:rPr>
                <w:rFonts w:ascii="Times New Roman" w:hAnsi="Times New Roman"/>
                <w:sz w:val="21"/>
              </w:rPr>
              <w:t>5</w:t>
            </w:r>
          </w:p>
        </w:tc>
        <w:tc>
          <w:tcPr>
            <w:tcW w:type="dxa" w:w="6048"/>
            <w:vAlign w:val="center"/>
          </w:tcPr>
          <w:p>
            <w:pPr>
              <w:spacing w:after="60"/>
            </w:pPr>
            <w:r>
              <w:rPr>
                <w:rFonts w:ascii="Times New Roman" w:hAnsi="Times New Roman"/>
                <w:sz w:val="21"/>
              </w:rPr>
              <w:t>Lớn hơn US02 vì cần lấy vị trí GPS, lọc quán theo khoảng cách và xử lý trường hợp khách hàng tắt hoặc từ chối quyền định vị.</w:t>
            </w:r>
          </w:p>
        </w:tc>
      </w:tr>
      <w:tr>
        <w:tc>
          <w:tcPr>
            <w:tcW w:type="dxa" w:w="3168"/>
            <w:vAlign w:val="center"/>
          </w:tcPr>
          <w:p>
            <w:pPr>
              <w:spacing w:after="60"/>
            </w:pPr>
            <w:r>
              <w:rPr>
                <w:rFonts w:ascii="Times New Roman" w:hAnsi="Times New Roman"/>
                <w:sz w:val="21"/>
              </w:rPr>
              <w:t>US04 – Thanh toán qua Napas/thẻ quốc tế</w:t>
            </w:r>
          </w:p>
        </w:tc>
        <w:tc>
          <w:tcPr>
            <w:tcW w:type="dxa" w:w="1224"/>
            <w:vAlign w:val="center"/>
          </w:tcPr>
          <w:p>
            <w:pPr>
              <w:spacing w:after="60"/>
            </w:pPr>
            <w:r>
              <w:rPr>
                <w:rFonts w:ascii="Times New Roman" w:hAnsi="Times New Roman"/>
                <w:sz w:val="21"/>
              </w:rPr>
              <w:t>8</w:t>
            </w:r>
          </w:p>
        </w:tc>
        <w:tc>
          <w:tcPr>
            <w:tcW w:type="dxa" w:w="6048"/>
            <w:vAlign w:val="center"/>
          </w:tcPr>
          <w:p>
            <w:pPr>
              <w:spacing w:after="60"/>
            </w:pPr>
            <w:r>
              <w:rPr>
                <w:rFonts w:ascii="Times New Roman" w:hAnsi="Times New Roman"/>
                <w:sz w:val="21"/>
              </w:rPr>
              <w:t>Lớn hơn US02 nhiều vì cần tích hợp cổng thanh toán bên thứ ba, xử lý giao dịch thành công/thất bại và bảo đảm an toàn thông tin thanh toán.</w:t>
            </w:r>
          </w:p>
        </w:tc>
      </w:tr>
    </w:tbl>
    <w:p>
      <w:r>
        <w:rPr>
          <w:b/>
        </w:rPr>
        <w:t xml:space="preserve">Lưu ý: </w:t>
      </w:r>
      <w:r>
        <w:t>Story Point là ước lượng tương đối của nhóm, không phải số giờ làm việc và không có một đáp án duy nhất. Các mức điểm khác vẫn hợp lý nếu có lập luận rõ ràng.</w:t>
      </w:r>
    </w:p>
    <w:p>
      <w:pPr>
        <w:pStyle w:val="Heading1"/>
      </w:pPr>
      <w:r>
        <w:t>Bước 2. Xử lý bất đồng trong Planning Poker</w:t>
      </w:r>
    </w:p>
    <w:p>
      <w:r>
        <w:t>Scrum Master yêu cầu Dev Senior và Dev Junior giải thích lý do lần lượt chọn 2 và 5 points, sau đó điều phối nhóm thảo luận để làm rõ độ phức tạp của GPS, việc lọc quán và xử lý khi không lấy được vị trí. Sau khi thống nhất cách hiểu về yêu cầu, cả nhóm biểu quyết lại để chốt một mức Story Point duy nhất dựa trên sự đồng thuận, không lấy trung bình hai kết quả.</w:t>
      </w:r>
    </w:p>
    <w:p>
      <w:pPr>
        <w:pStyle w:val="Heading1"/>
      </w:pPr>
      <w:r>
        <w:t>Bước 3. Thiết lập Sprint Goal</w:t>
      </w:r>
    </w:p>
    <w:p>
      <w:pPr>
        <w:ind w:left="360" w:right="360"/>
      </w:pPr>
      <w:r>
        <w:rPr>
          <w:b/>
        </w:rPr>
        <w:t>Sprint Goal: Giúp khách hàng đăng nhập, tìm được quán ăn phù hợp, xem danh sách món ăn và hoàn thành đơn đặt món đầu tiên thành công trên ứng dụng GoFood.</w:t>
      </w:r>
    </w:p>
    <w:p>
      <w:pPr>
        <w:pStyle w:val="Heading1"/>
      </w:pPr>
      <w:r>
        <w:t>Bước 4. Xử lý yêu cầu nhập mã giảm giá khuyến mãi</w:t>
      </w:r>
    </w:p>
    <w:p>
      <w:r>
        <w:t>Product Owner ghi nhận tính năng “Nhập mã giảm giá khuyến mãi” vào Product Backlog và sắp xếp thứ tự ưu tiên. Vì tính năng này không phục vụ trực tiếp Sprint Goal hiện tại nên nhóm chưa đưa vào Sprint 1; tính năng có thể được xem xét trong Sprint Planning tiếp theo tùy theo mức độ ưu tiên và năng lực của nhóm.</w:t>
      </w:r>
    </w:p>
    <w:p>
      <w:pPr>
        <w:pStyle w:val="Heading1"/>
      </w:pPr>
      <w:r>
        <w:t>Kết luận</w:t>
      </w:r>
    </w:p>
    <w:p>
      <w:r>
        <w:t>Nhóm sử dụng Story Point để ước lượng tương đối, Planning Poker để thảo luận và thống nhất điểm số, Sprint Goal để định hướng giá trị cần đạt được, và Product Backlog để quản lý các yêu cầu bổ sung.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GoFood – Sprint 1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