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BÀI THỰC HÀNH 1</w:t>
        <w:br/>
        <w:t>CHECKLIST DEMO VÀ XỬ LÝ TÌNH HUỐNG TRONG SPRINT REVIEW</w:t>
      </w:r>
    </w:p>
    <w:p>
      <w:r>
        <w:rPr>
          <w:b/>
        </w:rPr>
        <w:t xml:space="preserve">Dự án: </w:t>
      </w:r>
      <w:r>
        <w:t>Ứng dụng đặt đồ ăn GoFood</w:t>
      </w:r>
    </w:p>
    <w:p>
      <w:r>
        <w:rPr>
          <w:b/>
        </w:rPr>
        <w:t xml:space="preserve">Buổi họp: </w:t>
      </w:r>
      <w:r>
        <w:t>Sprint Review cuối Sprint 2</w:t>
      </w:r>
    </w:p>
    <w:p>
      <w:pPr>
        <w:pStyle w:val="Heading1"/>
      </w:pPr>
      <w:r>
        <w:t>Bước 1. Checklist Demo chuẩn</w:t>
      </w:r>
    </w:p>
    <w:p>
      <w:r>
        <w:t>Trước buổi Sprint Review, Scrum Team kiểm tra các hạng mục theo checklist 4 bước: (1) đối chiếu tiêu chí Acceptance Criteria; (2) xác nhận đã hoàn thành Definition of Done (DoD); (3) kiểm tra bản triển khai trên môi trường Staging; (4) chuẩn bị dữ liệu và kịch bản demo, đồng thời kiểm tra các luồng chính.</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Hạng mục</w:t>
            </w:r>
          </w:p>
        </w:tc>
        <w:tc>
          <w:tcPr>
            <w:tcW w:type="dxa" w:w="3360"/>
          </w:tcPr>
          <w:p>
            <w:r>
              <w:rPr>
                <w:b/>
              </w:rPr>
              <w:t>Trạng thái</w:t>
            </w:r>
          </w:p>
        </w:tc>
        <w:tc>
          <w:tcPr>
            <w:tcW w:type="dxa" w:w="3360"/>
          </w:tcPr>
          <w:p>
            <w:r>
              <w:rPr>
                <w:b/>
              </w:rPr>
              <w:t>Quyết định demo</w:t>
            </w:r>
          </w:p>
        </w:tc>
      </w:tr>
      <w:tr>
        <w:tc>
          <w:tcPr>
            <w:tcW w:type="dxa" w:w="3360"/>
            <w:vAlign w:val="center"/>
          </w:tcPr>
          <w:p>
            <w:r>
              <w:rPr>
                <w:rFonts w:ascii="Times New Roman" w:hAnsi="Times New Roman"/>
                <w:sz w:val="21"/>
              </w:rPr>
              <w:t>US01 – Tìm kiếm quán ăn theo vị trí GPS</w:t>
            </w:r>
          </w:p>
        </w:tc>
        <w:tc>
          <w:tcPr>
            <w:tcW w:type="dxa" w:w="3360"/>
            <w:vAlign w:val="center"/>
          </w:tcPr>
          <w:p>
            <w:r>
              <w:rPr>
                <w:rFonts w:ascii="Times New Roman" w:hAnsi="Times New Roman"/>
                <w:sz w:val="21"/>
              </w:rPr>
              <w:t>Đạt 100% DoD</w:t>
            </w:r>
          </w:p>
        </w:tc>
        <w:tc>
          <w:tcPr>
            <w:tcW w:type="dxa" w:w="3360"/>
            <w:vAlign w:val="center"/>
          </w:tcPr>
          <w:p>
            <w:r>
              <w:rPr>
                <w:rFonts w:ascii="Times New Roman" w:hAnsi="Times New Roman"/>
                <w:sz w:val="21"/>
              </w:rPr>
              <w:t>Được demo</w:t>
            </w:r>
          </w:p>
        </w:tc>
      </w:tr>
      <w:tr>
        <w:tc>
          <w:tcPr>
            <w:tcW w:type="dxa" w:w="3360"/>
            <w:vAlign w:val="center"/>
          </w:tcPr>
          <w:p>
            <w:r>
              <w:rPr>
                <w:rFonts w:ascii="Times New Roman" w:hAnsi="Times New Roman"/>
                <w:sz w:val="21"/>
              </w:rPr>
              <w:t>US02 – Thanh toán qua ví điện tử VNPay</w:t>
            </w:r>
          </w:p>
        </w:tc>
        <w:tc>
          <w:tcPr>
            <w:tcW w:type="dxa" w:w="3360"/>
            <w:vAlign w:val="center"/>
          </w:tcPr>
          <w:p>
            <w:r>
              <w:rPr>
                <w:rFonts w:ascii="Times New Roman" w:hAnsi="Times New Roman"/>
                <w:sz w:val="21"/>
              </w:rPr>
              <w:t>Đạt 100% DoD</w:t>
            </w:r>
          </w:p>
        </w:tc>
        <w:tc>
          <w:tcPr>
            <w:tcW w:type="dxa" w:w="3360"/>
            <w:vAlign w:val="center"/>
          </w:tcPr>
          <w:p>
            <w:r>
              <w:rPr>
                <w:rFonts w:ascii="Times New Roman" w:hAnsi="Times New Roman"/>
                <w:sz w:val="21"/>
              </w:rPr>
              <w:t>Được demo; chuẩn bị phương án dự phòng nếu lỗi</w:t>
            </w:r>
          </w:p>
        </w:tc>
      </w:tr>
      <w:tr>
        <w:tc>
          <w:tcPr>
            <w:tcW w:type="dxa" w:w="3360"/>
            <w:vAlign w:val="center"/>
          </w:tcPr>
          <w:p>
            <w:r>
              <w:rPr>
                <w:rFonts w:ascii="Times New Roman" w:hAnsi="Times New Roman"/>
                <w:sz w:val="21"/>
              </w:rPr>
              <w:t>US03 – Gợi ý món ăn theo sở thích</w:t>
            </w:r>
          </w:p>
        </w:tc>
        <w:tc>
          <w:tcPr>
            <w:tcW w:type="dxa" w:w="3360"/>
            <w:vAlign w:val="center"/>
          </w:tcPr>
          <w:p>
            <w:r>
              <w:rPr>
                <w:rFonts w:ascii="Times New Roman" w:hAnsi="Times New Roman"/>
                <w:sz w:val="21"/>
              </w:rPr>
              <w:t>Hoàn thành 90%, chưa kiểm thử tải</w:t>
            </w:r>
          </w:p>
        </w:tc>
        <w:tc>
          <w:tcPr>
            <w:tcW w:type="dxa" w:w="3360"/>
            <w:vAlign w:val="center"/>
          </w:tcPr>
          <w:p>
            <w:r>
              <w:rPr>
                <w:rFonts w:ascii="Times New Roman" w:hAnsi="Times New Roman"/>
                <w:sz w:val="21"/>
              </w:rPr>
              <w:t>Không demo như tính năng hoàn thành; tiếp tục hoàn thiện và kiểm thử</w:t>
            </w:r>
          </w:p>
        </w:tc>
      </w:tr>
    </w:tbl>
    <w:p>
      <w:r>
        <w:t>Kết luận: Chỉ chọn US01 và US02 để demo vì đã đạt 100% DoD. US03 chưa đạt DoD nên không được giới thiệu như một hạng mục hoàn thành hoặc đưa vào nghiệm thu.</w:t>
      </w:r>
    </w:p>
    <w:p>
      <w:pPr>
        <w:pStyle w:val="Heading1"/>
      </w:pPr>
      <w:r>
        <w:t>Bước 2. Kịch bản 4 giai đoạn của Sprint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Giai đoạn</w:t>
            </w:r>
          </w:p>
        </w:tc>
        <w:tc>
          <w:tcPr>
            <w:tcW w:type="dxa" w:w="3360"/>
          </w:tcPr>
          <w:p>
            <w:r>
              <w:rPr>
                <w:b/>
              </w:rPr>
              <w:t>Người phụ trách</w:t>
            </w:r>
          </w:p>
        </w:tc>
        <w:tc>
          <w:tcPr>
            <w:tcW w:type="dxa" w:w="3360"/>
          </w:tcPr>
          <w:p>
            <w:r>
              <w:rPr>
                <w:b/>
              </w:rPr>
              <w:t>Nội dung thực hiện</w:t>
            </w:r>
          </w:p>
        </w:tc>
      </w:tr>
      <w:tr>
        <w:tc>
          <w:tcPr>
            <w:tcW w:type="dxa" w:w="3360"/>
            <w:vAlign w:val="center"/>
          </w:tcPr>
          <w:p>
            <w:r>
              <w:rPr>
                <w:rFonts w:ascii="Times New Roman" w:hAnsi="Times New Roman"/>
                <w:sz w:val="20"/>
              </w:rPr>
              <w:t>1. Mở đầu</w:t>
            </w:r>
          </w:p>
        </w:tc>
        <w:tc>
          <w:tcPr>
            <w:tcW w:type="dxa" w:w="3360"/>
            <w:vAlign w:val="center"/>
          </w:tcPr>
          <w:p>
            <w:r>
              <w:rPr>
                <w:rFonts w:ascii="Times New Roman" w:hAnsi="Times New Roman"/>
                <w:sz w:val="20"/>
              </w:rPr>
              <w:t>Product Owner (PO)</w:t>
            </w:r>
          </w:p>
        </w:tc>
        <w:tc>
          <w:tcPr>
            <w:tcW w:type="dxa" w:w="3360"/>
            <w:vAlign w:val="center"/>
          </w:tcPr>
          <w:p>
            <w:r>
              <w:rPr>
                <w:rFonts w:ascii="Times New Roman" w:hAnsi="Times New Roman"/>
                <w:sz w:val="20"/>
              </w:rPr>
              <w:t>Nêu mục tiêu Sprint 2, giá trị mong đợi và các hạng mục đủ điều kiện xem xét: US01 và US02. Thông báo US03 chưa đạt DoD nên chưa được xem là hoàn thành.</w:t>
            </w:r>
          </w:p>
        </w:tc>
      </w:tr>
      <w:tr>
        <w:tc>
          <w:tcPr>
            <w:tcW w:type="dxa" w:w="3360"/>
            <w:vAlign w:val="center"/>
          </w:tcPr>
          <w:p>
            <w:r>
              <w:rPr>
                <w:rFonts w:ascii="Times New Roman" w:hAnsi="Times New Roman"/>
                <w:sz w:val="20"/>
              </w:rPr>
              <w:t>2. Demo trực tiếp</w:t>
            </w:r>
          </w:p>
        </w:tc>
        <w:tc>
          <w:tcPr>
            <w:tcW w:type="dxa" w:w="3360"/>
            <w:vAlign w:val="center"/>
          </w:tcPr>
          <w:p>
            <w:r>
              <w:rPr>
                <w:rFonts w:ascii="Times New Roman" w:hAnsi="Times New Roman"/>
                <w:sz w:val="20"/>
              </w:rPr>
              <w:t>Developer</w:t>
            </w:r>
          </w:p>
        </w:tc>
        <w:tc>
          <w:tcPr>
            <w:tcW w:type="dxa" w:w="3360"/>
            <w:vAlign w:val="center"/>
          </w:tcPr>
          <w:p>
            <w:r>
              <w:rPr>
                <w:rFonts w:ascii="Times New Roman" w:hAnsi="Times New Roman"/>
                <w:sz w:val="20"/>
              </w:rPr>
              <w:t>Thao tác trên môi trường Staging theo luồng thực tế: tìm quán theo GPS và thanh toán VNPay. Giải thích kết quả quan sát được, không chỉ trình chiếu slide.</w:t>
            </w:r>
          </w:p>
        </w:tc>
      </w:tr>
      <w:tr>
        <w:tc>
          <w:tcPr>
            <w:tcW w:type="dxa" w:w="3360"/>
            <w:vAlign w:val="center"/>
          </w:tcPr>
          <w:p>
            <w:r>
              <w:rPr>
                <w:rFonts w:ascii="Times New Roman" w:hAnsi="Times New Roman"/>
                <w:sz w:val="20"/>
              </w:rPr>
              <w:t>3. Thảo luận / Dùng thử</w:t>
            </w:r>
          </w:p>
        </w:tc>
        <w:tc>
          <w:tcPr>
            <w:tcW w:type="dxa" w:w="3360"/>
            <w:vAlign w:val="center"/>
          </w:tcPr>
          <w:p>
            <w:r>
              <w:rPr>
                <w:rFonts w:ascii="Times New Roman" w:hAnsi="Times New Roman"/>
                <w:sz w:val="20"/>
              </w:rPr>
              <w:t>Stakeholder và đại diện nhà hàng; Scrum Team hỗ trợ</w:t>
            </w:r>
          </w:p>
        </w:tc>
        <w:tc>
          <w:tcPr>
            <w:tcW w:type="dxa" w:w="3360"/>
            <w:vAlign w:val="center"/>
          </w:tcPr>
          <w:p>
            <w:r>
              <w:rPr>
                <w:rFonts w:ascii="Times New Roman" w:hAnsi="Times New Roman"/>
                <w:sz w:val="20"/>
              </w:rPr>
              <w:t>Mời người tham dự trải nghiệm các luồng, đặt câu hỏi và góp ý về trải nghiệm, tính phù hợp với nghiệp vụ và nhu cầu thực tế. Developer ghi nhận chi tiết kỹ thuật khi cần.</w:t>
            </w:r>
          </w:p>
        </w:tc>
      </w:tr>
      <w:tr>
        <w:tc>
          <w:tcPr>
            <w:tcW w:type="dxa" w:w="3360"/>
            <w:vAlign w:val="center"/>
          </w:tcPr>
          <w:p>
            <w:r>
              <w:rPr>
                <w:rFonts w:ascii="Times New Roman" w:hAnsi="Times New Roman"/>
                <w:sz w:val="20"/>
              </w:rPr>
              <w:t>4. Cập nhật Backlog</w:t>
            </w:r>
          </w:p>
        </w:tc>
        <w:tc>
          <w:tcPr>
            <w:tcW w:type="dxa" w:w="3360"/>
            <w:vAlign w:val="center"/>
          </w:tcPr>
          <w:p>
            <w:r>
              <w:rPr>
                <w:rFonts w:ascii="Times New Roman" w:hAnsi="Times New Roman"/>
                <w:sz w:val="20"/>
              </w:rPr>
              <w:t>Product Owner</w:t>
            </w:r>
          </w:p>
        </w:tc>
        <w:tc>
          <w:tcPr>
            <w:tcW w:type="dxa" w:w="3360"/>
            <w:vAlign w:val="center"/>
          </w:tcPr>
          <w:p>
            <w:r>
              <w:rPr>
                <w:rFonts w:ascii="Times New Roman" w:hAnsi="Times New Roman"/>
                <w:sz w:val="20"/>
              </w:rPr>
              <w:t>Ghi nhận phản hồi và yêu cầu mới vào Product Backlog, làm rõ giá trị, sắp xếp thứ tự ưu tiên và trao đổi với Developers về các vấn đề cần làm rõ. Không tự ý cam kết thời gian thực hiện ngay tại cuộc họp.</w:t>
            </w:r>
          </w:p>
        </w:tc>
      </w:tr>
    </w:tbl>
    <w:p>
      <w:pPr>
        <w:pStyle w:val="Heading1"/>
      </w:pPr>
      <w:r>
        <w:t>Bước 3. Phản hồi xử lý tình huống</w:t>
      </w:r>
    </w:p>
    <w:p>
      <w:pPr>
        <w:pStyle w:val="Heading2"/>
      </w:pPr>
      <w:r>
        <w:t>Tình huống A – Đối tác yêu cầu bổ sung tính năng in hóa đơn nhiệt tự động vào tuần tới</w:t>
      </w:r>
    </w:p>
    <w:p>
      <w:r>
        <w:rPr>
          <w:b/>
        </w:rPr>
        <w:t xml:space="preserve">Phản hồi của Product Owner: </w:t>
      </w:r>
      <w:r>
        <w:t>“Cảm ơn anh/chị đã đề xuất tính năng in hóa đơn nhiệt tự động. Em đã ghi nhận yêu cầu này vào Product Backlog; Product Owner sẽ đánh giá giá trị, mức độ ưu tiên và các phụ thuộc cùng đội phát triển trong quá trình refinement, sau đó cân nhắc ở buổi Sprint Planning tiếp theo. Hiện tại em chưa thể cam kết triển khai ngay vào tuần tới trước khi nhóm đánh giá đầy đủ.”</w:t>
      </w:r>
    </w:p>
    <w:p>
      <w:r>
        <w:t>Cách xử lý: Không hứa làm ngay. Ghi rõ nhu cầu, người đề xuất và lợi ích mong đợi; sau đó làm rõ yêu cầu, ước lượng và sắp xếp ưu tiên trong Product Backlog.</w:t>
      </w:r>
    </w:p>
    <w:p>
      <w:pPr>
        <w:pStyle w:val="Heading2"/>
      </w:pPr>
      <w:r>
        <w:t>Tình huống B – Demo VNPay gặp lỗi Gateway Timeout</w:t>
      </w:r>
    </w:p>
    <w:p>
      <w:r>
        <w:rPr>
          <w:b/>
        </w:rPr>
        <w:t xml:space="preserve">Phản hồi của Developer: </w:t>
      </w:r>
      <w:r>
        <w:t>“Xin lỗi anh/chị, trong lúc trình diễn, hệ thống đang gặp lỗi Gateway Timeout khi kết nối cổng thanh toán. Chúng tôi sẽ ghi nhận mã lỗi và thời điểm xảy ra để kiểm tra sau buổi Review, đồng thời chuyển sang trình diễn tính năng tìm kiếm quán theo GPS. Sau khi xác định nguyên nhân và kiểm tra lại, nhóm sẽ cập nhật kết quả xử lý.”</w:t>
      </w:r>
    </w:p>
    <w:p>
      <w:r>
        <w:t>Cách xử lý: Bình tĩnh và trung thực; ghi lại thông tin lỗi, không tranh cãi hoặc cố sửa lỗi kéo dài trước người tham dự; chuyển sang kịch bản demo dự phòng. Vì US02 đã đạt DoD trước buổi họp nhưng phát sinh lỗi trong demo, nhóm vẫn cần điều tra và xác minh lại tính ổn định của tích hợp thanh toán.</w:t>
      </w:r>
    </w:p>
    <w:p>
      <w:pPr>
        <w:pStyle w:val="Heading1"/>
      </w:pPr>
      <w:r>
        <w:t>Kết luận</w:t>
      </w:r>
    </w:p>
    <w:p>
      <w:r>
        <w:t>Sprint Review tập trung kiểm tra kết quả sản phẩm và nhận phản hồi. Chỉ demo các hạng mục đạt DoD, xử lý yêu cầu mới bằng Product Backlog và phản hồi sự cố một cách minh bạch, chuyên nghiệp.</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GoFood – Sprint Review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