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Knowledge Base Document</w:t>
      </w:r>
    </w:p>
    <w:p>
      <w:r>
        <w:t>The Olive Tree Language Training Center</w:t>
      </w:r>
    </w:p>
    <w:p>
      <w:r>
        <w:t>Dubai, United Arab Emirates</w:t>
      </w:r>
    </w:p>
    <w:p>
      <w:r>
        <w:t>Website: https://www.theolivetree.ae/</w:t>
      </w:r>
    </w:p>
    <w:p/>
    <w:p>
      <w:pPr>
        <w:pStyle w:val="Heading2"/>
      </w:pPr>
      <w:r>
        <w:t>1. About The Olive Tree</w:t>
      </w:r>
    </w:p>
    <w:p>
      <w:r>
        <w:t>The Olive Tree Language Training Center is a KHDA-approved language institute in Dubai. The center focuses primarily on Arabic language education for children, adults, and professionals. Courses are designed to build practical communication skills while also deepening cultural and Islamic understanding.</w:t>
      </w:r>
    </w:p>
    <w:p>
      <w:pPr>
        <w:pStyle w:val="Heading2"/>
      </w:pPr>
      <w:r>
        <w:t>2. Course Categories</w:t>
      </w:r>
    </w:p>
    <w:p>
      <w:pPr>
        <w:pStyle w:val="Heading3"/>
      </w:pPr>
      <w:r>
        <w:t>2.1 Discover Arabic Series</w:t>
      </w:r>
    </w:p>
    <w:p>
      <w:r>
        <w:t>Beginner Level: Introduction to Arabic letters, pronunciation, basic vocabulary, and simple conversations.</w:t>
      </w:r>
    </w:p>
    <w:p>
      <w:r>
        <w:t>Intermediate Level: Development of conversational skills, grammar expansion, and reading comprehension.</w:t>
      </w:r>
    </w:p>
    <w:p>
      <w:r>
        <w:t>Advanced Level: Advanced grammar, fluent communication, professional-level usage.</w:t>
      </w:r>
    </w:p>
    <w:p>
      <w:r>
        <w:t>Format: In-person classroom and live online sessions.</w:t>
      </w:r>
    </w:p>
    <w:p>
      <w:pPr>
        <w:pStyle w:val="Heading3"/>
      </w:pPr>
      <w:r>
        <w:t>2.2 Conversational Arabic</w:t>
      </w:r>
    </w:p>
    <w:p>
      <w:r>
        <w:t>Focus: Everyday spoken Arabic for real-life communication.</w:t>
      </w:r>
    </w:p>
    <w:p>
      <w:r>
        <w:t>Suitable for expatriates, professionals, and residents.</w:t>
      </w:r>
    </w:p>
    <w:p>
      <w:r>
        <w:t>Format: Group classes and online live sessions.</w:t>
      </w:r>
    </w:p>
    <w:p>
      <w:pPr>
        <w:pStyle w:val="Heading3"/>
      </w:pPr>
      <w:r>
        <w:t>2.3 Emirati / Gulf Dialect Arabic</w:t>
      </w:r>
    </w:p>
    <w:p>
      <w:r>
        <w:t>Focus: Practical Emirati dialect used in UAE workplaces and daily life.</w:t>
      </w:r>
    </w:p>
    <w:p>
      <w:r>
        <w:t>Ideal for professionals working with local clients or government offices.</w:t>
      </w:r>
    </w:p>
    <w:p>
      <w:pPr>
        <w:pStyle w:val="Heading3"/>
      </w:pPr>
      <w:r>
        <w:t>2.4 Noor Bayan / Qaida Program</w:t>
      </w:r>
    </w:p>
    <w:p>
      <w:r>
        <w:t>Foundational reading program focusing on Arabic letters, pronunciation, and structured recitation skills.</w:t>
      </w:r>
    </w:p>
    <w:p>
      <w:r>
        <w:t>Suitable for beginners and children.</w:t>
      </w:r>
    </w:p>
    <w:p>
      <w:pPr>
        <w:pStyle w:val="Heading3"/>
      </w:pPr>
      <w:r>
        <w:t>2.5 Arabic Grammar &amp; Classical Studies</w:t>
      </w:r>
    </w:p>
    <w:p>
      <w:r>
        <w:t>Includes Nahw (syntax), Sarf (morphology), and Balagha (rhetoric).</w:t>
      </w:r>
    </w:p>
    <w:p>
      <w:r>
        <w:t>Designed for learners seeking deeper classical Arabic understanding.</w:t>
      </w:r>
    </w:p>
    <w:p>
      <w:pPr>
        <w:pStyle w:val="Heading3"/>
      </w:pPr>
      <w:r>
        <w:t>2.6 Qur’anic Arabic &amp; Tajweed</w:t>
      </w:r>
    </w:p>
    <w:p>
      <w:r>
        <w:t>Understanding Qur’anic vocabulary and structure.</w:t>
      </w:r>
    </w:p>
    <w:p>
      <w:r>
        <w:t>Tajweed rules for proper recitation.</w:t>
      </w:r>
    </w:p>
    <w:p>
      <w:r>
        <w:t>Integration of Islamic studies context.</w:t>
      </w:r>
    </w:p>
    <w:p>
      <w:pPr>
        <w:pStyle w:val="Heading3"/>
      </w:pPr>
      <w:r>
        <w:t>2.7 Kids &amp; Youth Programs</w:t>
      </w:r>
    </w:p>
    <w:p>
      <w:r>
        <w:t>Age-appropriate Arabic learning.</w:t>
      </w:r>
    </w:p>
    <w:p>
      <w:r>
        <w:t>Includes Tarbiyyah (character-building) elements.</w:t>
      </w:r>
    </w:p>
    <w:p>
      <w:r>
        <w:t>Interactive and activity-based methodology.</w:t>
      </w:r>
    </w:p>
    <w:p>
      <w:pPr>
        <w:pStyle w:val="Heading3"/>
      </w:pPr>
      <w:r>
        <w:t>2.8 Corporate / Business Arabic</w:t>
      </w:r>
    </w:p>
    <w:p>
      <w:r>
        <w:t>Customized programs for companies.</w:t>
      </w:r>
    </w:p>
    <w:p>
      <w:r>
        <w:t>Business communication, professional vocabulary, and workplace scenarios.</w:t>
      </w:r>
    </w:p>
    <w:p>
      <w:pPr>
        <w:pStyle w:val="Heading2"/>
      </w:pPr>
      <w:r>
        <w:t>3. Learning Formats</w:t>
      </w:r>
    </w:p>
    <w:p>
      <w:r>
        <w:t>• In-Person Classroom (Dubai)</w:t>
      </w:r>
    </w:p>
    <w:p>
      <w:r>
        <w:t>• Live Online Interactive Classes</w:t>
      </w:r>
    </w:p>
    <w:p>
      <w:r>
        <w:t>• Group Sessions</w:t>
      </w:r>
    </w:p>
    <w:p>
      <w:r>
        <w:t>• One-to-One Private Tutoring</w:t>
      </w:r>
    </w:p>
    <w:p>
      <w:r>
        <w:t>• Corporate Group Training</w:t>
      </w:r>
    </w:p>
    <w:p>
      <w:pPr>
        <w:pStyle w:val="Heading2"/>
      </w:pPr>
      <w:r>
        <w:t>4. Sample Pricing (For Demo Purposes Only)</w:t>
      </w:r>
    </w:p>
    <w:p>
      <w:r>
        <w:t>Note: Actual pricing may vary and is typically provided upon enquiry.</w:t>
      </w:r>
    </w:p>
    <w:tbl>
      <w:tblPr>
        <w:tblW w:type="auto" w:w="0"/>
        <w:tblLook w:firstColumn="1" w:firstRow="1" w:lastColumn="0" w:lastRow="0" w:noHBand="0" w:noVBand="1" w:val="04A0"/>
      </w:tblPr>
      <w:tblGrid>
        <w:gridCol w:w="2160"/>
        <w:gridCol w:w="2160"/>
        <w:gridCol w:w="2160"/>
        <w:gridCol w:w="2160"/>
      </w:tblGrid>
      <w:tr>
        <w:tc>
          <w:tcPr>
            <w:tcW w:type="dxa" w:w="2160"/>
          </w:tcPr>
          <w:p>
            <w:r>
              <w:t>Course</w:t>
            </w:r>
          </w:p>
        </w:tc>
        <w:tc>
          <w:tcPr>
            <w:tcW w:type="dxa" w:w="2160"/>
          </w:tcPr>
          <w:p>
            <w:r>
              <w:t>Format</w:t>
            </w:r>
          </w:p>
        </w:tc>
        <w:tc>
          <w:tcPr>
            <w:tcW w:type="dxa" w:w="2160"/>
          </w:tcPr>
          <w:p>
            <w:r>
              <w:t>Duration</w:t>
            </w:r>
          </w:p>
        </w:tc>
        <w:tc>
          <w:tcPr>
            <w:tcW w:type="dxa" w:w="2160"/>
          </w:tcPr>
          <w:p>
            <w:r>
              <w:t>Sample Price (AED)</w:t>
            </w:r>
          </w:p>
        </w:tc>
      </w:tr>
      <w:tr>
        <w:tc>
          <w:tcPr>
            <w:tcW w:type="dxa" w:w="2160"/>
          </w:tcPr>
          <w:p>
            <w:r>
              <w:t>Discover Arabic – Beginner</w:t>
            </w:r>
          </w:p>
        </w:tc>
        <w:tc>
          <w:tcPr>
            <w:tcW w:type="dxa" w:w="2160"/>
          </w:tcPr>
          <w:p>
            <w:r>
              <w:t>Group (In-Person)</w:t>
            </w:r>
          </w:p>
        </w:tc>
        <w:tc>
          <w:tcPr>
            <w:tcW w:type="dxa" w:w="2160"/>
          </w:tcPr>
          <w:p>
            <w:r>
              <w:t>10 Weeks</w:t>
            </w:r>
          </w:p>
        </w:tc>
        <w:tc>
          <w:tcPr>
            <w:tcW w:type="dxa" w:w="2160"/>
          </w:tcPr>
          <w:p>
            <w:r>
              <w:t>1,800</w:t>
            </w:r>
          </w:p>
        </w:tc>
      </w:tr>
      <w:tr>
        <w:tc>
          <w:tcPr>
            <w:tcW w:type="dxa" w:w="2160"/>
          </w:tcPr>
          <w:p>
            <w:r>
              <w:t>Discover Arabic – Intermediate</w:t>
            </w:r>
          </w:p>
        </w:tc>
        <w:tc>
          <w:tcPr>
            <w:tcW w:type="dxa" w:w="2160"/>
          </w:tcPr>
          <w:p>
            <w:r>
              <w:t>Group (In-Person)</w:t>
            </w:r>
          </w:p>
        </w:tc>
        <w:tc>
          <w:tcPr>
            <w:tcW w:type="dxa" w:w="2160"/>
          </w:tcPr>
          <w:p>
            <w:r>
              <w:t>10 Weeks</w:t>
            </w:r>
          </w:p>
        </w:tc>
        <w:tc>
          <w:tcPr>
            <w:tcW w:type="dxa" w:w="2160"/>
          </w:tcPr>
          <w:p>
            <w:r>
              <w:t>2,000</w:t>
            </w:r>
          </w:p>
        </w:tc>
      </w:tr>
      <w:tr>
        <w:tc>
          <w:tcPr>
            <w:tcW w:type="dxa" w:w="2160"/>
          </w:tcPr>
          <w:p>
            <w:r>
              <w:t>Discover Arabic – Advanced</w:t>
            </w:r>
          </w:p>
        </w:tc>
        <w:tc>
          <w:tcPr>
            <w:tcW w:type="dxa" w:w="2160"/>
          </w:tcPr>
          <w:p>
            <w:r>
              <w:t>Group (In-Person)</w:t>
            </w:r>
          </w:p>
        </w:tc>
        <w:tc>
          <w:tcPr>
            <w:tcW w:type="dxa" w:w="2160"/>
          </w:tcPr>
          <w:p>
            <w:r>
              <w:t>10 Weeks</w:t>
            </w:r>
          </w:p>
        </w:tc>
        <w:tc>
          <w:tcPr>
            <w:tcW w:type="dxa" w:w="2160"/>
          </w:tcPr>
          <w:p>
            <w:r>
              <w:t>2,200</w:t>
            </w:r>
          </w:p>
        </w:tc>
      </w:tr>
      <w:tr>
        <w:tc>
          <w:tcPr>
            <w:tcW w:type="dxa" w:w="2160"/>
          </w:tcPr>
          <w:p>
            <w:r>
              <w:t>Conversational Arabic</w:t>
            </w:r>
          </w:p>
        </w:tc>
        <w:tc>
          <w:tcPr>
            <w:tcW w:type="dxa" w:w="2160"/>
          </w:tcPr>
          <w:p>
            <w:r>
              <w:t>Live Online</w:t>
            </w:r>
          </w:p>
        </w:tc>
        <w:tc>
          <w:tcPr>
            <w:tcW w:type="dxa" w:w="2160"/>
          </w:tcPr>
          <w:p>
            <w:r>
              <w:t>8 Weeks</w:t>
            </w:r>
          </w:p>
        </w:tc>
        <w:tc>
          <w:tcPr>
            <w:tcW w:type="dxa" w:w="2160"/>
          </w:tcPr>
          <w:p>
            <w:r>
              <w:t>1,600</w:t>
            </w:r>
          </w:p>
        </w:tc>
      </w:tr>
      <w:tr>
        <w:tc>
          <w:tcPr>
            <w:tcW w:type="dxa" w:w="2160"/>
          </w:tcPr>
          <w:p>
            <w:r>
              <w:t>Emirati Arabic</w:t>
            </w:r>
          </w:p>
        </w:tc>
        <w:tc>
          <w:tcPr>
            <w:tcW w:type="dxa" w:w="2160"/>
          </w:tcPr>
          <w:p>
            <w:r>
              <w:t>Group</w:t>
            </w:r>
          </w:p>
        </w:tc>
        <w:tc>
          <w:tcPr>
            <w:tcW w:type="dxa" w:w="2160"/>
          </w:tcPr>
          <w:p>
            <w:r>
              <w:t>10 Weeks</w:t>
            </w:r>
          </w:p>
        </w:tc>
        <w:tc>
          <w:tcPr>
            <w:tcW w:type="dxa" w:w="2160"/>
          </w:tcPr>
          <w:p>
            <w:r>
              <w:t>1,900</w:t>
            </w:r>
          </w:p>
        </w:tc>
      </w:tr>
      <w:tr>
        <w:tc>
          <w:tcPr>
            <w:tcW w:type="dxa" w:w="2160"/>
          </w:tcPr>
          <w:p>
            <w:r>
              <w:t>Noor Bayan / Qaida</w:t>
            </w:r>
          </w:p>
        </w:tc>
        <w:tc>
          <w:tcPr>
            <w:tcW w:type="dxa" w:w="2160"/>
          </w:tcPr>
          <w:p>
            <w:r>
              <w:t>Group</w:t>
            </w:r>
          </w:p>
        </w:tc>
        <w:tc>
          <w:tcPr>
            <w:tcW w:type="dxa" w:w="2160"/>
          </w:tcPr>
          <w:p>
            <w:r>
              <w:t>8 Weeks</w:t>
            </w:r>
          </w:p>
        </w:tc>
        <w:tc>
          <w:tcPr>
            <w:tcW w:type="dxa" w:w="2160"/>
          </w:tcPr>
          <w:p>
            <w:r>
              <w:t>1,500</w:t>
            </w:r>
          </w:p>
        </w:tc>
      </w:tr>
      <w:tr>
        <w:tc>
          <w:tcPr>
            <w:tcW w:type="dxa" w:w="2160"/>
          </w:tcPr>
          <w:p>
            <w:r>
              <w:t>Arabic Grammar &amp; Syntax</w:t>
            </w:r>
          </w:p>
        </w:tc>
        <w:tc>
          <w:tcPr>
            <w:tcW w:type="dxa" w:w="2160"/>
          </w:tcPr>
          <w:p>
            <w:r>
              <w:t>Group / Private</w:t>
            </w:r>
          </w:p>
        </w:tc>
        <w:tc>
          <w:tcPr>
            <w:tcW w:type="dxa" w:w="2160"/>
          </w:tcPr>
          <w:p>
            <w:r>
              <w:t>8 Weeks</w:t>
            </w:r>
          </w:p>
        </w:tc>
        <w:tc>
          <w:tcPr>
            <w:tcW w:type="dxa" w:w="2160"/>
          </w:tcPr>
          <w:p>
            <w:r>
              <w:t>2,500</w:t>
            </w:r>
          </w:p>
        </w:tc>
      </w:tr>
      <w:tr>
        <w:tc>
          <w:tcPr>
            <w:tcW w:type="dxa" w:w="2160"/>
          </w:tcPr>
          <w:p>
            <w:r>
              <w:t>Private Tutoring</w:t>
            </w:r>
          </w:p>
        </w:tc>
        <w:tc>
          <w:tcPr>
            <w:tcW w:type="dxa" w:w="2160"/>
          </w:tcPr>
          <w:p>
            <w:r>
              <w:t>One-to-One</w:t>
            </w:r>
          </w:p>
        </w:tc>
        <w:tc>
          <w:tcPr>
            <w:tcW w:type="dxa" w:w="2160"/>
          </w:tcPr>
          <w:p>
            <w:r>
              <w:t>10 Sessions</w:t>
            </w:r>
          </w:p>
        </w:tc>
        <w:tc>
          <w:tcPr>
            <w:tcW w:type="dxa" w:w="2160"/>
          </w:tcPr>
          <w:p>
            <w:r>
              <w:t>1,800</w:t>
            </w:r>
          </w:p>
        </w:tc>
      </w:tr>
      <w:tr>
        <w:tc>
          <w:tcPr>
            <w:tcW w:type="dxa" w:w="2160"/>
          </w:tcPr>
          <w:p>
            <w:r>
              <w:t>Corporate Arabic</w:t>
            </w:r>
          </w:p>
        </w:tc>
        <w:tc>
          <w:tcPr>
            <w:tcW w:type="dxa" w:w="2160"/>
          </w:tcPr>
          <w:p>
            <w:r>
              <w:t>Company</w:t>
            </w:r>
          </w:p>
        </w:tc>
        <w:tc>
          <w:tcPr>
            <w:tcW w:type="dxa" w:w="2160"/>
          </w:tcPr>
          <w:p>
            <w:r>
              <w:t>Custom</w:t>
            </w:r>
          </w:p>
        </w:tc>
        <w:tc>
          <w:tcPr>
            <w:tcW w:type="dxa" w:w="2160"/>
          </w:tcPr>
          <w:p>
            <w:r>
              <w:t>3,500+</w:t>
            </w:r>
          </w:p>
        </w:tc>
      </w:tr>
      <w:tr>
        <w:tc>
          <w:tcPr>
            <w:tcW w:type="dxa" w:w="2160"/>
          </w:tcPr>
          <w:p>
            <w:r>
              <w:t>Kids Arabic Program</w:t>
            </w:r>
          </w:p>
        </w:tc>
        <w:tc>
          <w:tcPr>
            <w:tcW w:type="dxa" w:w="2160"/>
          </w:tcPr>
          <w:p>
            <w:r>
              <w:t>Group</w:t>
            </w:r>
          </w:p>
        </w:tc>
        <w:tc>
          <w:tcPr>
            <w:tcW w:type="dxa" w:w="2160"/>
          </w:tcPr>
          <w:p>
            <w:r>
              <w:t>Semester</w:t>
            </w:r>
          </w:p>
        </w:tc>
        <w:tc>
          <w:tcPr>
            <w:tcW w:type="dxa" w:w="2160"/>
          </w:tcPr>
          <w:p>
            <w:r>
              <w:t>1,700</w:t>
            </w:r>
          </w:p>
        </w:tc>
      </w:tr>
    </w:tbl>
    <w:p>
      <w:pPr>
        <w:pStyle w:val="Heading2"/>
      </w:pPr>
      <w:r>
        <w:t>5. Frequently Asked Questions (For AI Assistant)</w:t>
      </w:r>
    </w:p>
    <w:p>
      <w:r>
        <w:t>Q: Who can join the courses?</w:t>
      </w:r>
    </w:p>
    <w:p>
      <w:r>
        <w:t>A: Beginners, children, adults, professionals, and corporate teams.</w:t>
      </w:r>
    </w:p>
    <w:p/>
    <w:p>
      <w:r>
        <w:t>Q: Are online classes available?</w:t>
      </w:r>
    </w:p>
    <w:p>
      <w:r>
        <w:t>A: Yes, live interactive online classes are available.</w:t>
      </w:r>
    </w:p>
    <w:p/>
    <w:p>
      <w:r>
        <w:t>Q: Is certification provided?</w:t>
      </w:r>
    </w:p>
    <w:p>
      <w:r>
        <w:t>A: Yes, certificates are provided upon course completion.</w:t>
      </w:r>
    </w:p>
    <w:p/>
    <w:p>
      <w:r>
        <w:t>Q: How can I enroll?</w:t>
      </w:r>
    </w:p>
    <w:p>
      <w:r>
        <w:t>A: Contact the center via phone, email, or website inquiry form.</w:t>
      </w:r>
    </w:p>
    <w:p>
      <w:pPr>
        <w:pStyle w:val="Heading2"/>
      </w:pPr>
      <w:r>
        <w:t>6. Contact Information</w:t>
      </w:r>
    </w:p>
    <w:p>
      <w:r>
        <w:t>Address: Suite 406, Sajaya 2, Al Qusais 1, Dubai, UAE</w:t>
      </w:r>
    </w:p>
    <w:p>
      <w:r>
        <w:t>Phone: +971 52 886 1056</w:t>
      </w:r>
    </w:p>
    <w:p>
      <w:r>
        <w:t>Email: admin@theolivetree.ae</w:t>
      </w:r>
    </w:p>
    <w:p>
      <w:r>
        <w:t>Website: https://www.theolivetree.ae/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