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40"/>
        <w:jc w:val="left"/>
      </w:pPr>
      <w:r>
        <w:rPr>
          <w:rFonts w:ascii="Times New Roman" w:cs="Times New Roman" w:eastAsia="Times New Roman" w:hAnsi="Times New Roman"/>
          <w:sz w:val="20"/>
          <w:szCs w:val="20"/>
        </w:rPr>
        <w:t xml:space="preserve">[Date]</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The Editor-in-Chief</w:t>
      </w:r>
    </w:p>
    <w:p>
      <w:pPr>
        <w:spacing w:after="100" w:before="0" w:line="240"/>
        <w:jc w:val="left"/>
      </w:pPr>
      <w:r>
        <w:rPr>
          <w:rFonts w:ascii="Times New Roman" w:cs="Times New Roman" w:eastAsia="Times New Roman" w:hAnsi="Times New Roman"/>
          <w:sz w:val="20"/>
          <w:szCs w:val="20"/>
        </w:rPr>
        <w:t xml:space="preserve">International Journal of Advanced Multidisciplinary Research and Studies</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Dear Editor,</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Please consider the enclosed manuscript, "Auditable fraud-risk assessment for a Zambian online grocery store: leakage-controlled benchmarks and a protocol for collecting verified labels", for publication as an original research article.</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The paper addresses a practical problem for small online retailers that accept mobile money and card payments: how to flag risky orders when the store has no fraud-labelled history. It describes a rule-based assessment for a Zambian online grocery store, a guard that refuses to score inputs a trained model has never seen, and a protocol for collecting analyst-verified labels. On two public datasets it also measures how much common evaluation shortcuts inflate reported scores. In the experiment, oversampling before the split raised a random forest's area under the precision-recall curve on card data from 0.81 to 1.00.</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The manuscript is original, has not been published, and is not under review elsewhere. The datasets are public and cited with their licences, and the code, tests and saved results are in an open repository. An AI assistant helped to write the software, the analysis scripts and the text; this is disclosed in the Acknowledgement. I confirm that the author details, conflict-of-interest statement and funding statement in the manuscript are accurate.</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The manuscript follows the journal's format: A4 pages, Times New Roman 10 pt, a title page with the corresponding author's address at the lower left, an abstract of fewer than 250 words, six keywords, and numbered references in the journal's author-initials style. The signed author responsibility form is attached.</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Yours sincerely,</w:t>
      </w:r>
    </w:p>
    <w:p>
      <w:pPr>
        <w:spacing w:after="100" w:before="0" w:line="240"/>
        <w:jc w:val="left"/>
      </w:pPr>
      <w:r>
        <w:rPr>
          <w:rFonts w:ascii="Times New Roman" w:cs="Times New Roman" w:eastAsia="Times New Roman" w:hAnsi="Times New Roman"/>
          <w:sz w:val="20"/>
          <w:szCs w:val="20"/>
        </w:rPr>
        <w:t xml:space="preserve"> </w:t>
      </w:r>
    </w:p>
    <w:p>
      <w:pPr>
        <w:spacing w:after="100" w:before="0" w:line="240"/>
        <w:jc w:val="left"/>
      </w:pPr>
      <w:r>
        <w:rPr>
          <w:rFonts w:ascii="Times New Roman" w:cs="Times New Roman" w:eastAsia="Times New Roman" w:hAnsi="Times New Roman"/>
          <w:sz w:val="20"/>
          <w:szCs w:val="20"/>
        </w:rPr>
        <w:t xml:space="preserve">[Surname], [Given name]</w:t>
      </w:r>
    </w:p>
    <w:p>
      <w:pPr>
        <w:spacing w:after="100" w:before="0" w:line="240"/>
        <w:jc w:val="left"/>
      </w:pPr>
      <w:r>
        <w:rPr>
          <w:rFonts w:ascii="Times New Roman" w:cs="Times New Roman" w:eastAsia="Times New Roman" w:hAnsi="Times New Roman"/>
          <w:sz w:val="20"/>
          <w:szCs w:val="20"/>
        </w:rPr>
        <w:t xml:space="preserve">[Department], [University or organisation], [City], [Country]</w:t>
      </w:r>
    </w:p>
    <w:p>
      <w:pPr>
        <w:spacing w:after="100" w:before="0" w:line="240"/>
        <w:jc w:val="left"/>
      </w:pPr>
      <w:r>
        <w:rPr>
          <w:rFonts w:ascii="Times New Roman" w:cs="Times New Roman" w:eastAsia="Times New Roman" w:hAnsi="Times New Roman"/>
          <w:sz w:val="20"/>
          <w:szCs w:val="20"/>
        </w:rPr>
        <w:t xml:space="preserve">E-mail: lemmymununga0@gmail.com</w:t>
      </w:r>
    </w:p>
    <w:p>
      <w:pPr>
        <w:spacing w:after="100" w:before="0" w:line="240"/>
        <w:jc w:val="left"/>
      </w:pPr>
      <w:r>
        <w:rPr>
          <w:rFonts w:ascii="Times New Roman" w:cs="Times New Roman" w:eastAsia="Times New Roman" w:hAnsi="Times New Roman"/>
          <w:sz w:val="20"/>
          <w:szCs w:val="20"/>
        </w:rPr>
        <w:t xml:space="preserve"> </w:t>
      </w:r>
    </w:p>
    <w:sectPr>
      <w:footerReference w:type="default" r:id="rId6"/>
      <w:footerReference w:type="first" r:id="rId7"/>
      <w:pgSz w:w="11906" w:h="16838"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lang w:val="en-GB"/>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Cover letter</dc:title>
  <dc:creator>[Surname], [Given name]</dc:creator>
  <dc:description>Cover letter</dc:description>
  <cp:lastModifiedBy>Un-named</cp:lastModifiedBy>
  <cp:revision>1</cp:revision>
  <dcterms:created xsi:type="dcterms:W3CDTF">2026-10-23T18:46:09.278Z</dcterms:created>
  <dcterms:modified xsi:type="dcterms:W3CDTF">2026-10-23T18:46:09.279Z</dcterms:modified>
</cp:coreProperties>
</file>

<file path=docProps/custom.xml><?xml version="1.0" encoding="utf-8"?>
<Properties xmlns="http://schemas.openxmlformats.org/officeDocument/2006/custom-properties" xmlns:vt="http://schemas.openxmlformats.org/officeDocument/2006/docPropsVTypes"/>
</file>