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rial" w:hAnsi="Arial" w:eastAsia="黑体"/>
          <w:b/>
          <w:color w:val="2F5597"/>
          <w:sz w:val="32"/>
        </w:rPr>
        <w:t>科研论文实施方案</w:t>
      </w:r>
    </w:p>
    <w:p>
      <w:pPr>
        <w:spacing w:before="360" w:after="160"/>
        <w:jc w:val="center"/>
      </w:pPr>
      <w:r>
        <w:rPr>
          <w:rFonts w:ascii="Arial" w:hAnsi="Arial" w:eastAsia="黑体"/>
          <w:b/>
          <w:color w:val="17365D"/>
          <w:sz w:val="42"/>
        </w:rPr>
        <w:t>达产与扩建延期不确定性下智算中心</w:t>
      </w:r>
    </w:p>
    <w:p>
      <w:pPr>
        <w:spacing w:after="240"/>
        <w:jc w:val="center"/>
      </w:pPr>
      <w:r>
        <w:rPr>
          <w:rFonts w:ascii="Arial" w:hAnsi="Arial" w:eastAsia="黑体"/>
          <w:b/>
          <w:color w:val="17365D"/>
          <w:sz w:val="42"/>
        </w:rPr>
        <w:t>分阶段接入与小时级绿电协同规划</w:t>
      </w:r>
    </w:p>
    <w:p>
      <w:pPr>
        <w:spacing w:after="500"/>
        <w:jc w:val="center"/>
      </w:pPr>
      <w:r>
        <w:rPr>
          <w:rFonts w:ascii="Times New Roman" w:hAnsi="Times New Roman" w:eastAsia="Times New Roman"/>
          <w:i/>
          <w:color w:val="666666"/>
          <w:sz w:val="25"/>
        </w:rPr>
        <w:t>Adaptive Phased Interconnection and Hourly Clean-Energy Matching for AI Data Centers</w:t>
        <w:br/>
        <w:t>under Ramp-Up and Grid-Expansion Delay Uncertainty</w:t>
      </w:r>
    </w:p>
    <w:tbl>
      <w:tblPr>
        <w:tblStyle w:val="TableGrid"/>
        <w:tblW w:type="auto" w:w="0"/>
        <w:jc w:val="center"/>
        <w:tblLayout w:type="fixed"/>
        <w:tblLook w:firstColumn="1" w:firstRow="1" w:lastColumn="0" w:lastRow="0" w:noHBand="0" w:noVBand="1" w:val="04A0"/>
      </w:tblPr>
      <w:tblGrid>
        <w:gridCol w:w="4933"/>
        <w:gridCol w:w="4933"/>
      </w:tblGrid>
      <w:tr>
        <w:trPr>
          <w:cantSplit/>
        </w:trPr>
        <w:tc>
          <w:tcPr>
            <w:tcW w:type="dxa" w:w="1701"/>
            <w:shd w:fill="17365D"/>
            <w:tcMar>
              <w:top w:w="130" w:type="dxa"/>
              <w:start w:w="150" w:type="dxa"/>
              <w:bottom w:w="130" w:type="dxa"/>
              <w:end w:w="150" w:type="dxa"/>
            </w:tcMar>
          </w:tcPr>
          <w:p>
            <w:pPr>
              <w:jc w:val="center"/>
            </w:pPr>
            <w:r>
              <w:rPr>
                <w:rFonts w:ascii="Arial" w:hAnsi="Arial" w:eastAsia="黑体"/>
                <w:b/>
                <w:color w:val="FFFFFF"/>
                <w:sz w:val="20"/>
              </w:rPr>
              <w:t>材料性质</w:t>
            </w:r>
          </w:p>
        </w:tc>
        <w:tc>
          <w:tcPr>
            <w:tcW w:type="dxa" w:w="7370"/>
            <w:tcMar>
              <w:top w:w="130" w:type="dxa"/>
              <w:start w:w="150" w:type="dxa"/>
              <w:bottom w:w="130" w:type="dxa"/>
              <w:end w:w="150" w:type="dxa"/>
            </w:tcMar>
          </w:tcPr>
          <w:p>
            <w:r>
              <w:rPr>
                <w:rFonts w:ascii="Times New Roman" w:hAnsi="Times New Roman" w:eastAsia="宋体"/>
                <w:sz w:val="20"/>
              </w:rPr>
              <w:t>个人独立完成的单篇论文实施方案（聚焦最新版）</w:t>
            </w:r>
          </w:p>
        </w:tc>
      </w:tr>
      <w:tr>
        <w:trPr>
          <w:cantSplit/>
        </w:trPr>
        <w:tc>
          <w:tcPr>
            <w:tcW w:type="dxa" w:w="1701"/>
            <w:shd w:fill="17365D"/>
            <w:tcMar>
              <w:top w:w="130" w:type="dxa"/>
              <w:start w:w="150" w:type="dxa"/>
              <w:bottom w:w="130" w:type="dxa"/>
              <w:end w:w="150" w:type="dxa"/>
            </w:tcMar>
          </w:tcPr>
          <w:p>
            <w:pPr>
              <w:jc w:val="center"/>
            </w:pPr>
            <w:r>
              <w:rPr>
                <w:rFonts w:ascii="Arial" w:hAnsi="Arial" w:eastAsia="黑体"/>
                <w:b/>
                <w:color w:val="FFFFFF"/>
                <w:sz w:val="20"/>
              </w:rPr>
              <w:t>主创新</w:t>
            </w:r>
          </w:p>
        </w:tc>
        <w:tc>
          <w:tcPr>
            <w:tcW w:type="dxa" w:w="7370"/>
            <w:tcMar>
              <w:top w:w="130" w:type="dxa"/>
              <w:start w:w="150" w:type="dxa"/>
              <w:bottom w:w="130" w:type="dxa"/>
              <w:end w:w="150" w:type="dxa"/>
            </w:tcMar>
          </w:tcPr>
          <w:p>
            <w:r>
              <w:rPr>
                <w:rFonts w:ascii="Times New Roman" w:hAnsi="Times New Roman" w:eastAsia="宋体"/>
                <w:sz w:val="20"/>
              </w:rPr>
              <w:t>双重时钟信息逐季揭示下的多阶段F/X容量释放与扩建决策</w:t>
            </w:r>
          </w:p>
        </w:tc>
      </w:tr>
      <w:tr>
        <w:trPr>
          <w:cantSplit/>
        </w:trPr>
        <w:tc>
          <w:tcPr>
            <w:tcW w:type="dxa" w:w="1701"/>
            <w:shd w:fill="17365D"/>
            <w:tcMar>
              <w:top w:w="130" w:type="dxa"/>
              <w:start w:w="150" w:type="dxa"/>
              <w:bottom w:w="130" w:type="dxa"/>
              <w:end w:w="150" w:type="dxa"/>
            </w:tcMar>
          </w:tcPr>
          <w:p>
            <w:pPr>
              <w:jc w:val="center"/>
            </w:pPr>
            <w:r>
              <w:rPr>
                <w:rFonts w:ascii="Arial" w:hAnsi="Arial" w:eastAsia="黑体"/>
                <w:b/>
                <w:color w:val="FFFFFF"/>
                <w:sz w:val="20"/>
              </w:rPr>
              <w:t>第二创新</w:t>
            </w:r>
          </w:p>
        </w:tc>
        <w:tc>
          <w:tcPr>
            <w:tcW w:type="dxa" w:w="7370"/>
            <w:tcMar>
              <w:top w:w="130" w:type="dxa"/>
              <w:start w:w="150" w:type="dxa"/>
              <w:bottom w:w="130" w:type="dxa"/>
              <w:end w:w="150" w:type="dxa"/>
            </w:tcMar>
          </w:tcPr>
          <w:p>
            <w:r>
              <w:rPr>
                <w:rFonts w:ascii="Times New Roman" w:hAnsi="Times New Roman" w:eastAsia="宋体"/>
                <w:sz w:val="20"/>
              </w:rPr>
              <w:t>网络应急削减与小时级绿电匹配共享灵活性预算，禁止重复承诺</w:t>
            </w:r>
          </w:p>
        </w:tc>
      </w:tr>
      <w:tr>
        <w:trPr>
          <w:cantSplit/>
        </w:trPr>
        <w:tc>
          <w:tcPr>
            <w:tcW w:type="dxa" w:w="1701"/>
            <w:shd w:fill="17365D"/>
            <w:tcMar>
              <w:top w:w="130" w:type="dxa"/>
              <w:start w:w="150" w:type="dxa"/>
              <w:bottom w:w="130" w:type="dxa"/>
              <w:end w:w="150" w:type="dxa"/>
            </w:tcMar>
          </w:tcPr>
          <w:p>
            <w:pPr>
              <w:jc w:val="center"/>
            </w:pPr>
            <w:r>
              <w:rPr>
                <w:rFonts w:ascii="Arial" w:hAnsi="Arial" w:eastAsia="黑体"/>
                <w:b/>
                <w:color w:val="FFFFFF"/>
                <w:sz w:val="20"/>
              </w:rPr>
              <w:t>研究尺度</w:t>
            </w:r>
          </w:p>
        </w:tc>
        <w:tc>
          <w:tcPr>
            <w:tcW w:type="dxa" w:w="7370"/>
            <w:tcMar>
              <w:top w:w="130" w:type="dxa"/>
              <w:start w:w="150" w:type="dxa"/>
              <w:bottom w:w="130" w:type="dxa"/>
              <w:end w:w="150" w:type="dxa"/>
            </w:tcMar>
          </w:tcPr>
          <w:p>
            <w:r>
              <w:rPr>
                <w:rFonts w:ascii="Times New Roman" w:hAnsi="Times New Roman" w:eastAsia="宋体"/>
                <w:sz w:val="20"/>
              </w:rPr>
              <w:t>季度多阶段规划 + 连续代表周小时级N-1与CFE校核</w:t>
            </w:r>
          </w:p>
        </w:tc>
      </w:tr>
      <w:tr>
        <w:trPr>
          <w:cantSplit/>
        </w:trPr>
        <w:tc>
          <w:tcPr>
            <w:tcW w:type="dxa" w:w="1701"/>
            <w:shd w:fill="17365D"/>
            <w:tcMar>
              <w:top w:w="130" w:type="dxa"/>
              <w:start w:w="150" w:type="dxa"/>
              <w:bottom w:w="130" w:type="dxa"/>
              <w:end w:w="150" w:type="dxa"/>
            </w:tcMar>
          </w:tcPr>
          <w:p>
            <w:pPr>
              <w:jc w:val="center"/>
            </w:pPr>
            <w:r>
              <w:rPr>
                <w:rFonts w:ascii="Arial" w:hAnsi="Arial" w:eastAsia="黑体"/>
                <w:b/>
                <w:color w:val="FFFFFF"/>
                <w:sz w:val="20"/>
              </w:rPr>
              <w:t>修改日期</w:t>
            </w:r>
          </w:p>
        </w:tc>
        <w:tc>
          <w:tcPr>
            <w:tcW w:type="dxa" w:w="7370"/>
            <w:tcMar>
              <w:top w:w="130" w:type="dxa"/>
              <w:start w:w="150" w:type="dxa"/>
              <w:bottom w:w="130" w:type="dxa"/>
              <w:end w:w="150" w:type="dxa"/>
            </w:tcMar>
          </w:tcPr>
          <w:p>
            <w:r>
              <w:rPr>
                <w:rFonts w:ascii="Times New Roman" w:hAnsi="Times New Roman" w:eastAsia="宋体"/>
                <w:sz w:val="20"/>
              </w:rPr>
              <w:t>2026年7月13日</w:t>
            </w:r>
          </w:p>
        </w:tc>
      </w:tr>
    </w:tbl>
    <w:p>
      <w:pPr>
        <w:spacing w:before="560"/>
        <w:jc w:val="center"/>
      </w:pPr>
      <w:r>
        <w:rPr>
          <w:rFonts w:ascii="Times New Roman" w:hAnsi="Times New Roman" w:eastAsia="宋体"/>
          <w:color w:val="666666"/>
          <w:sz w:val="21"/>
        </w:rPr>
        <w:t>研究者：____________________    指导教师：____________________</w:t>
      </w:r>
    </w:p>
    <w:tbl>
      <w:tblPr>
        <w:tblStyle w:val="TableGrid"/>
        <w:tblW w:type="auto" w:w="0"/>
        <w:jc w:val="center"/>
        <w:tblLook w:firstColumn="1" w:firstRow="1" w:lastColumn="0" w:lastRow="0" w:noHBand="0" w:noVBand="1" w:val="04A0"/>
      </w:tblPr>
      <w:tblGrid>
        <w:gridCol w:w="9866"/>
      </w:tblGrid>
      <w:tr>
        <w:tc>
          <w:tcPr>
            <w:tcW w:type="dxa" w:w="9866"/>
            <w:shd w:fill="E2F0D9"/>
            <w:tcMar>
              <w:top w:w="120" w:type="dxa"/>
              <w:start w:w="150" w:type="dxa"/>
              <w:bottom w:w="120" w:type="dxa"/>
              <w:end w:w="150" w:type="dxa"/>
            </w:tcMar>
          </w:tcPr>
          <w:p>
            <w:pPr>
              <w:spacing w:before="0" w:after="0" w:line="288" w:lineRule="auto"/>
            </w:pPr>
            <w:r>
              <w:rPr>
                <w:rFonts w:ascii="Times New Roman" w:hAnsi="Times New Roman" w:eastAsia="宋体"/>
                <w:b/>
                <w:color w:val="2F6B4F"/>
                <w:sz w:val="21"/>
              </w:rPr>
              <w:t>聚焦原则：</w:t>
            </w:r>
            <w:r>
              <w:rPr>
                <w:rFonts w:ascii="Times New Roman" w:hAnsi="Times New Roman" w:eastAsia="宋体"/>
                <w:sz w:val="21"/>
              </w:rPr>
              <w:t>全文只保留一个主创新和一个第二创新。恢复债务、CVaR、N-1、代表周和AC校核均作为支撑工具，不再分别包装为创新。</w:t>
            </w:r>
          </w:p>
        </w:tc>
      </w:tr>
    </w:tbl>
    <w:p>
      <w:pPr>
        <w:spacing w:after="0"/>
      </w:pPr>
    </w:p>
    <w:p>
      <w:r>
        <w:br w:type="page"/>
      </w:r>
    </w:p>
    <w:p>
      <w:pPr>
        <w:pStyle w:val="Heading1"/>
        <w:keepNext/>
        <w:pageBreakBefore/>
        <w:spacing w:before="180" w:after="100"/>
      </w:pPr>
      <w:r>
        <w:rPr>
          <w:rFonts w:ascii="Arial" w:hAnsi="Arial" w:eastAsia="黑体"/>
          <w:b/>
          <w:color w:val="17365D"/>
          <w:sz w:val="32"/>
        </w:rPr>
        <w:t>摘要与核心决策</w:t>
      </w:r>
    </w:p>
    <w:tbl>
      <w:tblPr>
        <w:tblStyle w:val="TableGrid"/>
        <w:tblW w:type="auto" w:w="0"/>
        <w:jc w:val="center"/>
        <w:tblLook w:firstColumn="1" w:firstRow="1" w:lastColumn="0" w:lastRow="0" w:noHBand="0" w:noVBand="1" w:val="04A0"/>
      </w:tblPr>
      <w:tblGrid>
        <w:gridCol w:w="9866"/>
      </w:tblGrid>
      <w:tr>
        <w:tc>
          <w:tcPr>
            <w:tcW w:type="dxa" w:w="9866"/>
            <w:shd w:fill="D9EAF7"/>
            <w:tcMar>
              <w:top w:w="120" w:type="dxa"/>
              <w:start w:w="150" w:type="dxa"/>
              <w:bottom w:w="120" w:type="dxa"/>
              <w:end w:w="150" w:type="dxa"/>
            </w:tcMar>
          </w:tcPr>
          <w:p>
            <w:pPr>
              <w:spacing w:before="0" w:after="0" w:line="288" w:lineRule="auto"/>
            </w:pPr>
            <w:r>
              <w:rPr>
                <w:rFonts w:ascii="Times New Roman" w:hAnsi="Times New Roman" w:eastAsia="宋体"/>
                <w:b/>
                <w:color w:val="17365D"/>
                <w:sz w:val="21"/>
              </w:rPr>
              <w:t>一句话问题：</w:t>
            </w:r>
            <w:r>
              <w:rPr>
                <w:rFonts w:ascii="Times New Roman" w:hAnsi="Times New Roman" w:eastAsia="宋体"/>
                <w:sz w:val="21"/>
              </w:rPr>
              <w:t>在数据中心达产和电网扩建进度逐季度揭示、且数据中心承担小时级清洁电力匹配目标的条件下，何时释放多少保供容量F和条件容量X，以及有限业务灵活性应如何在N-1条件削减与绿电移峰之间分配？</w:t>
            </w:r>
          </w:p>
        </w:tc>
      </w:tr>
    </w:tbl>
    <w:p>
      <w:pPr>
        <w:spacing w:after="0"/>
      </w:pPr>
    </w:p>
    <w:p>
      <w:pPr>
        <w:spacing w:before="0" w:after="80" w:line="307" w:lineRule="auto"/>
        <w:ind w:firstLine="420"/>
      </w:pPr>
      <w:r>
        <w:rPr>
          <w:rFonts w:ascii="Times New Roman" w:hAnsi="Times New Roman" w:eastAsia="宋体"/>
          <w:sz w:val="21"/>
        </w:rPr>
        <w:t>本文研究固定接入点的大型AI智算中心。与静态firm/flexible接入不同，本文允许容量释放和扩建启动根据已观察到的机柜上电、客户激活和工程进度序贯调整，并通过非预见性约束禁止利用未来信息。绿电不是独立附录，而是与网络条件服务竞争同一业务灵活性资源的第二核心维度。</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417"/>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层级</w:t>
            </w:r>
          </w:p>
        </w:tc>
        <w:tc>
          <w:tcPr>
            <w:tcW w:type="dxa" w:w="4592"/>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保留的贡献</w:t>
            </w:r>
          </w:p>
        </w:tc>
        <w:tc>
          <w:tcPr>
            <w:tcW w:type="dxa" w:w="3402"/>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不再单独宣称</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主创新</w:t>
            </w:r>
          </w:p>
        </w:tc>
        <w:tc>
          <w:tcPr>
            <w:tcW w:type="dxa" w:w="459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多阶段里程碑式F/X容量释放与扩建决策，量化适应性价值VMA</w:t>
            </w:r>
          </w:p>
        </w:tc>
        <w:tc>
          <w:tcPr>
            <w:tcW w:type="dxa" w:w="340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随机MILP、CVaR本身</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第二创新</w:t>
            </w:r>
          </w:p>
        </w:tc>
        <w:tc>
          <w:tcPr>
            <w:tcW w:type="dxa" w:w="459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网络应急与小时级CFE共享灵活性预算，避免重复承诺</w:t>
            </w:r>
          </w:p>
        </w:tc>
        <w:tc>
          <w:tcPr>
            <w:tcW w:type="dxa" w:w="340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一般的数据中心需求响应</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支撑模型</w:t>
            </w:r>
          </w:p>
        </w:tc>
        <w:tc>
          <w:tcPr>
            <w:tcW w:type="dxa" w:w="459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持续时间、事件次数、恢复债务、N-1和场景外验证</w:t>
            </w:r>
          </w:p>
        </w:tc>
        <w:tc>
          <w:tcPr>
            <w:tcW w:type="dxa" w:w="340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每个约束都是独立创新</w:t>
            </w:r>
          </w:p>
        </w:tc>
      </w:tr>
    </w:tbl>
    <w:p>
      <w:pPr>
        <w:spacing w:after="0"/>
      </w:pPr>
    </w:p>
    <w:tbl>
      <w:tblPr>
        <w:tblStyle w:val="TableGrid"/>
        <w:tblW w:type="auto" w:w="0"/>
        <w:jc w:val="center"/>
        <w:tblLook w:firstColumn="1" w:firstRow="1" w:lastColumn="0" w:lastRow="0" w:noHBand="0" w:noVBand="1" w:val="04A0"/>
      </w:tblPr>
      <w:tblGrid>
        <w:gridCol w:w="9866"/>
      </w:tblGrid>
      <w:tr>
        <w:tc>
          <w:tcPr>
            <w:tcW w:type="dxa" w:w="9866"/>
            <w:shd w:fill="FCE4D6"/>
            <w:tcMar>
              <w:top w:w="120" w:type="dxa"/>
              <w:start w:w="150" w:type="dxa"/>
              <w:bottom w:w="120" w:type="dxa"/>
              <w:end w:w="150" w:type="dxa"/>
            </w:tcMar>
          </w:tcPr>
          <w:p>
            <w:pPr>
              <w:spacing w:before="0" w:after="0" w:line="288" w:lineRule="auto"/>
            </w:pPr>
            <w:r>
              <w:rPr>
                <w:rFonts w:ascii="Times New Roman" w:hAnsi="Times New Roman" w:eastAsia="宋体"/>
                <w:b/>
                <w:color w:val="C55A11"/>
                <w:sz w:val="21"/>
              </w:rPr>
              <w:t>中心主张：</w:t>
            </w:r>
            <w:r>
              <w:rPr>
                <w:rFonts w:ascii="Times New Roman" w:hAnsi="Times New Roman" w:eastAsia="宋体"/>
                <w:sz w:val="21"/>
              </w:rPr>
              <w:t>多阶段方案不应在所有场景下被预设为优于传统方案。论文的科学目标是识别静态接入、两阶段接入和多阶段接入分别占优的参数区域，并解释小时级绿电目标与网络条件服务何时发生资源冲突。</w:t>
            </w:r>
          </w:p>
        </w:tc>
      </w:tr>
    </w:tbl>
    <w:p>
      <w:pPr>
        <w:spacing w:after="0"/>
      </w:pPr>
    </w:p>
    <w:p>
      <w:pPr>
        <w:pStyle w:val="Heading1"/>
        <w:keepNext/>
        <w:pageBreakBefore/>
        <w:spacing w:before="180" w:after="100"/>
      </w:pPr>
      <w:r>
        <w:rPr>
          <w:rFonts w:ascii="Arial" w:hAnsi="Arial" w:eastAsia="黑体"/>
          <w:b/>
          <w:color w:val="17365D"/>
          <w:sz w:val="32"/>
        </w:rPr>
        <w:t>一、研究对象、边界与机制</w:t>
      </w:r>
    </w:p>
    <w:p>
      <w:pPr>
        <w:pStyle w:val="Heading2"/>
        <w:keepNext/>
        <w:pageBreakBefore w:val="0"/>
        <w:spacing w:before="120" w:after="100"/>
      </w:pPr>
      <w:r>
        <w:rPr>
          <w:rFonts w:ascii="Arial" w:hAnsi="Arial" w:eastAsia="黑体"/>
          <w:b/>
          <w:color w:val="2F5597"/>
          <w:sz w:val="26"/>
        </w:rPr>
        <w:t>1.1 科学对象</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固定接入点的一座100—500 MW大型AI智算中心，按可运营机房或GPU模块分期投产。</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接入点所在输电网或区域网，存在主变、走廊、正常状态和关键N-1承载约束。</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数据中心达产与电网工程完工均存在路径不确定性，信息在季度节点逐步揭示。</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数据中心承担年度或小时级清洁电力匹配目标，并提供有限的暂停、延迟与恢复能力。</w:t>
      </w:r>
    </w:p>
    <w:p>
      <w:pPr>
        <w:pStyle w:val="Heading2"/>
        <w:keepNext/>
        <w:pageBreakBefore w:val="0"/>
        <w:spacing w:before="120" w:after="100"/>
      </w:pPr>
      <w:r>
        <w:rPr>
          <w:rFonts w:ascii="Arial" w:hAnsi="Arial" w:eastAsia="黑体"/>
          <w:b/>
          <w:color w:val="2F5597"/>
          <w:sz w:val="26"/>
        </w:rPr>
        <w:t>1.2 研究边界</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402"/>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纳入主模型</w:t>
            </w:r>
          </w:p>
        </w:tc>
        <w:tc>
          <w:tcPr>
            <w:tcW w:type="dxa" w:w="3005"/>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仅作事后校核或讨论</w:t>
            </w:r>
          </w:p>
        </w:tc>
        <w:tc>
          <w:tcPr>
            <w:tcW w:type="dxa" w:w="3005"/>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明确删除</w:t>
            </w:r>
          </w:p>
        </w:tc>
      </w:tr>
      <w:tr>
        <w:trPr>
          <w:cantSplit/>
        </w:trPr>
        <w:tc>
          <w:tcPr>
            <w:tcW w:type="dxa" w:w="3402"/>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F/X容量、扩建时序、N-1、连续代表周、年度/小时CFE</w:t>
            </w:r>
          </w:p>
        </w:tc>
        <w:tc>
          <w:tcPr>
            <w:tcW w:type="dxa" w:w="3005"/>
            <w:tcMar>
              <w:top w:w="90" w:type="dxa"/>
              <w:start w:w="110" w:type="dxa"/>
              <w:bottom w:w="90" w:type="dxa"/>
              <w:end w:w="110" w:type="dxa"/>
            </w:tcMar>
            <w:vAlign w:val="center"/>
          </w:tcPr>
          <w:p>
            <w:pPr>
              <w:spacing w:before="0" w:after="0" w:line="259" w:lineRule="auto"/>
            </w:pPr>
            <w:r>
              <w:rPr>
                <w:rFonts w:ascii="Times New Roman" w:hAnsi="Times New Roman" w:eastAsia="宋体"/>
                <w:sz w:val="17"/>
              </w:rPr>
              <w:t>AC潮流、合同映射、成本分担</w:t>
            </w:r>
          </w:p>
        </w:tc>
        <w:tc>
          <w:tcPr>
            <w:tcW w:type="dxa" w:w="3005"/>
            <w:tcMar>
              <w:top w:w="90" w:type="dxa"/>
              <w:start w:w="110" w:type="dxa"/>
              <w:bottom w:w="90" w:type="dxa"/>
              <w:end w:w="110" w:type="dxa"/>
            </w:tcMar>
            <w:vAlign w:val="center"/>
          </w:tcPr>
          <w:p>
            <w:pPr>
              <w:spacing w:before="0" w:after="0" w:line="259" w:lineRule="auto"/>
            </w:pPr>
            <w:r>
              <w:rPr>
                <w:rFonts w:ascii="Times New Roman" w:hAnsi="Times New Roman" w:eastAsia="宋体"/>
                <w:sz w:val="17"/>
              </w:rPr>
              <w:t>U容量、绿证市场、强化学习</w:t>
            </w:r>
          </w:p>
        </w:tc>
      </w:tr>
      <w:tr>
        <w:trPr>
          <w:cantSplit/>
        </w:trPr>
        <w:tc>
          <w:tcPr>
            <w:tcW w:type="dxa" w:w="3402"/>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达产与工程延期场景树、非预见性约束</w:t>
            </w:r>
          </w:p>
        </w:tc>
        <w:tc>
          <w:tcPr>
            <w:tcW w:type="dxa" w:w="3005"/>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储能作为未来扩展</w:t>
            </w:r>
          </w:p>
        </w:tc>
        <w:tc>
          <w:tcPr>
            <w:tcW w:type="dxa" w:w="3005"/>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储能清洁属性追踪、贝叶斯更新</w:t>
            </w:r>
          </w:p>
        </w:tc>
      </w:tr>
      <w:tr>
        <w:trPr>
          <w:cantSplit/>
        </w:trPr>
        <w:tc>
          <w:tcPr>
            <w:tcW w:type="dxa" w:w="3402"/>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网络应急与绿电移峰共享灵活性预算</w:t>
            </w:r>
          </w:p>
        </w:tc>
        <w:tc>
          <w:tcPr>
            <w:tcW w:type="dxa" w:w="3005"/>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中国与北美制度映射</w:t>
            </w:r>
          </w:p>
        </w:tc>
        <w:tc>
          <w:tcPr>
            <w:tcW w:type="dxa" w:w="3005"/>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跨数据中心任务迁移、电价设计</w:t>
            </w:r>
          </w:p>
        </w:tc>
      </w:tr>
    </w:tbl>
    <w:p>
      <w:pPr>
        <w:spacing w:after="0"/>
      </w:pPr>
    </w:p>
    <w:p>
      <w:pPr>
        <w:spacing w:before="0" w:after="80" w:line="307" w:lineRule="auto"/>
        <w:ind w:firstLine="420"/>
      </w:pPr>
      <w:r>
        <w:rPr>
          <w:rFonts w:ascii="Times New Roman" w:hAnsi="Times New Roman" w:eastAsia="宋体"/>
          <w:sz w:val="21"/>
        </w:rPr>
        <w:t>F和X采用制度中立定义：F是在规定正常和关键N-1集合下不因网络拥塞主动削减的容量权利；X是在约定触发条件、响应时间、持续时间、事件次数和能量预算内可调用的条件容量。论文不直接把它们等同于某一司法辖区的标准合同。</w:t>
      </w:r>
    </w:p>
    <w:p>
      <w:pPr>
        <w:pStyle w:val="Heading2"/>
        <w:keepNext/>
        <w:pageBreakBefore w:val="0"/>
        <w:spacing w:before="120" w:after="100"/>
      </w:pPr>
      <w:r>
        <w:rPr>
          <w:rFonts w:ascii="Arial" w:hAnsi="Arial" w:eastAsia="黑体"/>
          <w:b/>
          <w:color w:val="2F5597"/>
          <w:sz w:val="26"/>
        </w:rPr>
        <w:t>1.3 绿电为什么必须与接入联合建模</w:t>
      </w:r>
    </w:p>
    <w:p>
      <w:pPr>
        <w:spacing w:before="0" w:after="80" w:line="307" w:lineRule="auto"/>
        <w:ind w:firstLine="420"/>
      </w:pPr>
      <w:r>
        <w:rPr>
          <w:rFonts w:ascii="Times New Roman" w:hAnsi="Times New Roman" w:eastAsia="宋体"/>
          <w:sz w:val="21"/>
        </w:rPr>
        <w:t>年度绿电匹配只约束总能量，可能掩盖夜间、低风光出力和网络拥塞时段的缺口。小时级属地CFE匹配会改变负荷移峰、条件容量调用和扩建需求。若同一批柔性训练任务同时被承诺用于追随新能源和事故后削减，模型会高估可接入容量。因此，绿电的科研价值不在于增加一个比例约束，而在于揭示两类服务对同一灵活性资源的竞争。</w:t>
      </w:r>
    </w:p>
    <w:p>
      <w:pPr>
        <w:pStyle w:val="Heading1"/>
        <w:keepNext/>
        <w:pageBreakBefore/>
        <w:spacing w:before="180" w:after="100"/>
      </w:pPr>
      <w:r>
        <w:rPr>
          <w:rFonts w:ascii="Arial" w:hAnsi="Arial" w:eastAsia="黑体"/>
          <w:b/>
          <w:color w:val="17365D"/>
          <w:sz w:val="32"/>
        </w:rPr>
        <w:t>二、精确研究缺口、研究问题与假设</w:t>
      </w:r>
    </w:p>
    <w:p>
      <w:pPr>
        <w:pStyle w:val="Heading2"/>
        <w:keepNext/>
        <w:pageBreakBefore w:val="0"/>
        <w:spacing w:before="120" w:after="100"/>
      </w:pPr>
      <w:r>
        <w:rPr>
          <w:rFonts w:ascii="Arial" w:hAnsi="Arial" w:eastAsia="黑体"/>
          <w:b/>
          <w:color w:val="2F5597"/>
          <w:sz w:val="26"/>
        </w:rPr>
        <w:t>2.1 精确研究缺口</w:t>
      </w:r>
    </w:p>
    <w:p>
      <w:pPr>
        <w:spacing w:before="0" w:after="80" w:line="307" w:lineRule="auto"/>
        <w:ind w:firstLine="420"/>
      </w:pPr>
      <w:r>
        <w:rPr>
          <w:rFonts w:ascii="Times New Roman" w:hAnsi="Times New Roman" w:eastAsia="宋体"/>
          <w:sz w:val="21"/>
        </w:rPr>
        <w:t>现有研究已经分别覆盖数据中心灵活接入、firm/flexible容量、风险容量分配、工作负载移峰、输电扩建和清洁电力匹配。本文不以这些单独模块作为创新。可成立的缺口是：项目级达产和工程进度逐步揭示时，容量释放与扩建如何满足真实信息时序；以及有限业务灵活性如何在网络条件服务和小时级绿电匹配之间进行不可重复的联合分配。</w:t>
      </w:r>
    </w:p>
    <w:p>
      <w:pPr>
        <w:pStyle w:val="Heading2"/>
        <w:keepNext/>
        <w:pageBreakBefore w:val="0"/>
        <w:spacing w:before="120" w:after="100"/>
      </w:pPr>
      <w:r>
        <w:rPr>
          <w:rFonts w:ascii="Arial" w:hAnsi="Arial" w:eastAsia="黑体"/>
          <w:b/>
          <w:color w:val="2F5597"/>
          <w:sz w:val="26"/>
        </w:rPr>
        <w:t>2.2 三个研究问题</w:t>
      </w:r>
    </w:p>
    <w:p>
      <w:pPr>
        <w:spacing w:before="0" w:after="60" w:line="293" w:lineRule="auto"/>
        <w:ind w:left="397" w:hanging="397"/>
      </w:pPr>
      <w:r>
        <w:rPr>
          <w:rFonts w:ascii="Times New Roman" w:hAnsi="Times New Roman" w:eastAsia="宋体"/>
          <w:b/>
          <w:color w:val="2F5597"/>
          <w:sz w:val="21"/>
        </w:rPr>
        <w:t xml:space="preserve">1. </w:t>
      </w:r>
      <w:r>
        <w:rPr>
          <w:rFonts w:ascii="Times New Roman" w:hAnsi="Times New Roman" w:eastAsia="宋体"/>
          <w:sz w:val="21"/>
        </w:rPr>
        <w:t>RQ1：相对静态F/X和两阶段规划，多阶段策略在什么网架裕度、工程工期和达产不确定性下改善T20、T50、T100或尾部服务风险？</w:t>
      </w:r>
    </w:p>
    <w:p>
      <w:pPr>
        <w:spacing w:before="0" w:after="60" w:line="293" w:lineRule="auto"/>
        <w:ind w:left="397" w:hanging="397"/>
      </w:pPr>
      <w:r>
        <w:rPr>
          <w:rFonts w:ascii="Times New Roman" w:hAnsi="Times New Roman" w:eastAsia="宋体"/>
          <w:b/>
          <w:color w:val="2F5597"/>
          <w:sz w:val="21"/>
        </w:rPr>
        <w:t xml:space="preserve">2. </w:t>
      </w:r>
      <w:r>
        <w:rPr>
          <w:rFonts w:ascii="Times New Roman" w:hAnsi="Times New Roman" w:eastAsia="宋体"/>
          <w:sz w:val="21"/>
        </w:rPr>
        <w:t>RQ2：若同一业务灵活性同时被用于网络削减和绿电匹配，会高估多少条件容量，并造成多大的场景外业务违约与恢复债务？</w:t>
      </w:r>
    </w:p>
    <w:p>
      <w:pPr>
        <w:spacing w:before="0" w:after="60" w:line="293" w:lineRule="auto"/>
        <w:ind w:left="397" w:hanging="397"/>
      </w:pPr>
      <w:r>
        <w:rPr>
          <w:rFonts w:ascii="Times New Roman" w:hAnsi="Times New Roman" w:eastAsia="宋体"/>
          <w:b/>
          <w:color w:val="2F5597"/>
          <w:sz w:val="21"/>
        </w:rPr>
        <w:t xml:space="preserve">3. </w:t>
      </w:r>
      <w:r>
        <w:rPr>
          <w:rFonts w:ascii="Times New Roman" w:hAnsi="Times New Roman" w:eastAsia="宋体"/>
          <w:sz w:val="21"/>
        </w:rPr>
        <w:t>RQ3：年度绿电匹配与小时级属地CFE匹配如何产生不同的接入容量、扩建时序和灵活性分配决策？</w:t>
      </w:r>
    </w:p>
    <w:p>
      <w:pPr>
        <w:pStyle w:val="Heading2"/>
        <w:keepNext/>
        <w:pageBreakBefore w:val="0"/>
        <w:spacing w:before="120" w:after="100"/>
      </w:pPr>
      <w:r>
        <w:rPr>
          <w:rFonts w:ascii="Arial" w:hAnsi="Arial" w:eastAsia="黑体"/>
          <w:b/>
          <w:color w:val="2F5597"/>
          <w:sz w:val="26"/>
        </w:rPr>
        <w:t>2.3 三个可证伪假设</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850"/>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假设</w:t>
            </w:r>
          </w:p>
        </w:tc>
        <w:tc>
          <w:tcPr>
            <w:tcW w:type="dxa" w:w="5669"/>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可证伪表述</w:t>
            </w:r>
          </w:p>
        </w:tc>
        <w:tc>
          <w:tcPr>
            <w:tcW w:type="dxa" w:w="2891"/>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验证指标</w:t>
            </w:r>
          </w:p>
        </w:tc>
      </w:tr>
      <w:tr>
        <w:trPr>
          <w:cantSplit/>
        </w:trPr>
        <w:tc>
          <w:tcPr>
            <w:tcW w:type="dxa" w:w="850"/>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H1</w:t>
            </w:r>
          </w:p>
        </w:tc>
        <w:tc>
          <w:tcPr>
            <w:tcW w:type="dxa" w:w="56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双重不确定性高、工程工期长且网架裕度中等时VMA显著；低不确定性或高裕度时VMA接近零</w:t>
            </w:r>
          </w:p>
        </w:tc>
        <w:tc>
          <w:tcPr>
            <w:tcW w:type="dxa" w:w="289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VMA、T20/T50/T100、CVaR</w:t>
            </w:r>
          </w:p>
        </w:tc>
      </w:tr>
      <w:tr>
        <w:trPr>
          <w:cantSplit/>
        </w:trPr>
        <w:tc>
          <w:tcPr>
            <w:tcW w:type="dxa" w:w="850"/>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H2</w:t>
            </w:r>
          </w:p>
        </w:tc>
        <w:tc>
          <w:tcPr>
            <w:tcW w:type="dxa" w:w="56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允许灵活性重复承诺会系统性高估X，并提高联合压力场景下的场景外违约率</w:t>
            </w:r>
          </w:p>
        </w:tc>
        <w:tc>
          <w:tcPr>
            <w:tcW w:type="dxa" w:w="289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X高估量、违约概率、债务峰值</w:t>
            </w:r>
          </w:p>
        </w:tc>
      </w:tr>
      <w:tr>
        <w:trPr>
          <w:cantSplit/>
        </w:trPr>
        <w:tc>
          <w:tcPr>
            <w:tcW w:type="dxa" w:w="850"/>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H3</w:t>
            </w:r>
          </w:p>
        </w:tc>
        <w:tc>
          <w:tcPr>
            <w:tcW w:type="dxa" w:w="56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小时级CFE相对年度匹配会在部分节点改变扩建或容量释放决策，而非只增加目标成本</w:t>
            </w:r>
          </w:p>
        </w:tc>
        <w:tc>
          <w:tcPr>
            <w:tcW w:type="dxa" w:w="289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扩建选择、F/X轨迹、CFE Score</w:t>
            </w:r>
          </w:p>
        </w:tc>
      </w:tr>
    </w:tbl>
    <w:p>
      <w:pPr>
        <w:spacing w:after="0"/>
      </w:pPr>
    </w:p>
    <w:p>
      <w:pPr>
        <w:pStyle w:val="Heading1"/>
        <w:keepNext/>
        <w:pageBreakBefore/>
        <w:spacing w:before="180" w:after="100"/>
      </w:pPr>
      <w:r>
        <w:rPr>
          <w:rFonts w:ascii="Arial" w:hAnsi="Arial" w:eastAsia="黑体"/>
          <w:b/>
          <w:color w:val="17365D"/>
          <w:sz w:val="32"/>
        </w:rPr>
        <w:t>三、信息结构与多阶段决策</w:t>
      </w:r>
    </w:p>
    <w:p>
      <w:pPr>
        <w:pStyle w:val="Heading2"/>
        <w:keepNext/>
        <w:pageBreakBefore w:val="0"/>
        <w:spacing w:before="120" w:after="100"/>
      </w:pPr>
      <w:r>
        <w:rPr>
          <w:rFonts w:ascii="Arial" w:hAnsi="Arial" w:eastAsia="黑体"/>
          <w:b/>
          <w:color w:val="2F5597"/>
          <w:sz w:val="26"/>
        </w:rPr>
        <w:t>3.1 季度场景树</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361"/>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时点</w:t>
            </w:r>
          </w:p>
        </w:tc>
        <w:tc>
          <w:tcPr>
            <w:tcW w:type="dxa" w:w="294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可观察信息</w:t>
            </w:r>
          </w:p>
        </w:tc>
        <w:tc>
          <w:tcPr>
            <w:tcW w:type="dxa" w:w="311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允许决策</w:t>
            </w:r>
          </w:p>
        </w:tc>
        <w:tc>
          <w:tcPr>
            <w:tcW w:type="dxa" w:w="1984"/>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禁止使用</w:t>
            </w:r>
          </w:p>
        </w:tc>
      </w:tr>
      <w:tr>
        <w:trPr>
          <w:cantSplit/>
        </w:trPr>
        <w:tc>
          <w:tcPr>
            <w:tcW w:type="dxa" w:w="136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季度开始</w:t>
            </w:r>
          </w:p>
        </w:tc>
        <w:tc>
          <w:tcPr>
            <w:tcW w:type="dxa" w:w="294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机柜上电、客户激活、已知工程进度</w:t>
            </w:r>
          </w:p>
        </w:tc>
        <w:tc>
          <w:tcPr>
            <w:tcW w:type="dxa" w:w="311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增加F/X、启动或延后未开工工程</w:t>
            </w:r>
          </w:p>
        </w:tc>
        <w:tc>
          <w:tcPr>
            <w:tcW w:type="dxa" w:w="198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未来季度达产和延期结果</w:t>
            </w:r>
          </w:p>
        </w:tc>
      </w:tr>
      <w:tr>
        <w:trPr>
          <w:cantSplit/>
        </w:trPr>
        <w:tc>
          <w:tcPr>
            <w:tcW w:type="dxa" w:w="136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季度内小时运行</w:t>
            </w:r>
          </w:p>
        </w:tc>
        <w:tc>
          <w:tcPr>
            <w:tcW w:type="dxa" w:w="294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负荷、清洁电源可用出力、网络状态</w:t>
            </w:r>
          </w:p>
        </w:tc>
        <w:tc>
          <w:tcPr>
            <w:tcW w:type="dxa" w:w="311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调用X、绿电移峰、恢复负荷</w:t>
            </w:r>
          </w:p>
        </w:tc>
        <w:tc>
          <w:tcPr>
            <w:tcW w:type="dxa" w:w="198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未来随机场景标签</w:t>
            </w:r>
          </w:p>
        </w:tc>
      </w:tr>
      <w:tr>
        <w:trPr>
          <w:cantSplit/>
        </w:trPr>
        <w:tc>
          <w:tcPr>
            <w:tcW w:type="dxa" w:w="136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季度结束</w:t>
            </w:r>
          </w:p>
        </w:tc>
        <w:tc>
          <w:tcPr>
            <w:tcW w:type="dxa" w:w="294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实际削减、债务、CFE缺口和工程状态</w:t>
            </w:r>
          </w:p>
        </w:tc>
        <w:tc>
          <w:tcPr>
            <w:tcW w:type="dxa" w:w="311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更新下一阶段状态并再优化</w:t>
            </w:r>
          </w:p>
        </w:tc>
        <w:tc>
          <w:tcPr>
            <w:tcW w:type="dxa" w:w="198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用最终场景倒推历史决策</w:t>
            </w:r>
          </w:p>
        </w:tc>
      </w:tr>
    </w:tbl>
    <w:p>
      <w:pPr>
        <w:spacing w:after="0"/>
      </w:pPr>
    </w:p>
    <w:p>
      <w:pPr>
        <w:spacing w:before="0" w:after="80" w:line="307" w:lineRule="auto"/>
        <w:ind w:firstLine="420"/>
      </w:pPr>
      <w:r>
        <w:rPr>
          <w:rFonts w:ascii="Times New Roman" w:hAnsi="Times New Roman" w:eastAsia="宋体"/>
          <w:sz w:val="21"/>
        </w:rPr>
        <w:t>具有相同历史的场景必须共享相同的F/X和扩建决策。两阶段模型保留为基线：所有容量和建设决策在初始时刻作出，场景揭示后仅允许运行补救。</w:t>
      </w:r>
    </w:p>
    <w:p>
      <w:pPr>
        <w:spacing w:before="40" w:after="100" w:line="276" w:lineRule="auto"/>
        <w:jc w:val="center"/>
      </w:pPr>
      <w:r>
        <w:rPr>
          <w:rFonts w:ascii="Cambria Math" w:hAnsi="Cambria Math" w:eastAsia="Cambria Math"/>
          <w:i/>
          <w:sz w:val="21"/>
        </w:rPr>
        <w:t>xₖ,ω = xₖ,ω′，若场景ω与ω′在阶段k前具有相同历史</w:t>
      </w:r>
    </w:p>
    <w:p>
      <w:pPr>
        <w:pStyle w:val="Heading2"/>
        <w:keepNext/>
        <w:pageBreakBefore w:val="0"/>
        <w:spacing w:before="120" w:after="100"/>
      </w:pPr>
      <w:r>
        <w:rPr>
          <w:rFonts w:ascii="Arial" w:hAnsi="Arial" w:eastAsia="黑体"/>
          <w:b/>
          <w:color w:val="2F5597"/>
          <w:sz w:val="26"/>
        </w:rPr>
        <w:t>3.2 双重时钟不确定性</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需求时钟：模块建设、GPU到货、客户激活、IT利用率、机柜功率密度和PUE。</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工程时钟：审批、设备交付、施工和投运测试造成的延期。</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新能源出力仅作为小时运行不确定性，不再扩展为第三套长期投资市场模型。</w:t>
      </w:r>
    </w:p>
    <w:p>
      <w:pPr>
        <w:spacing w:before="0" w:after="80" w:line="307" w:lineRule="auto"/>
        <w:ind w:firstLine="420"/>
      </w:pPr>
      <w:r>
        <w:rPr>
          <w:rFonts w:ascii="Times New Roman" w:hAnsi="Times New Roman" w:eastAsia="宋体"/>
          <w:sz w:val="21"/>
        </w:rPr>
        <w:t>需求路径必须保持阶段一致性，不能由独立季度随机数随意拼接。工程延期应逐步揭示，例如先观察交付风险，再观察实际完成季度。</w:t>
      </w:r>
    </w:p>
    <w:p>
      <w:pPr>
        <w:pStyle w:val="Heading1"/>
        <w:keepNext/>
        <w:pageBreakBefore/>
        <w:spacing w:before="180" w:after="100"/>
      </w:pPr>
      <w:r>
        <w:rPr>
          <w:rFonts w:ascii="Arial" w:hAnsi="Arial" w:eastAsia="黑体"/>
          <w:b/>
          <w:color w:val="17365D"/>
          <w:sz w:val="32"/>
        </w:rPr>
        <w:t>四、聚焦后的数学模型</w:t>
      </w:r>
    </w:p>
    <w:p>
      <w:pPr>
        <w:pStyle w:val="Heading2"/>
        <w:keepNext/>
        <w:pageBreakBefore w:val="0"/>
        <w:spacing w:before="120" w:after="100"/>
      </w:pPr>
      <w:r>
        <w:rPr>
          <w:rFonts w:ascii="Arial" w:hAnsi="Arial" w:eastAsia="黑体"/>
          <w:b/>
          <w:color w:val="2F5597"/>
          <w:sz w:val="26"/>
        </w:rPr>
        <w:t>4.1 关键集合、变量与单位</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417"/>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类别</w:t>
            </w:r>
          </w:p>
        </w:tc>
        <w:tc>
          <w:tcPr>
            <w:tcW w:type="dxa" w:w="226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符号</w:t>
            </w:r>
          </w:p>
        </w:tc>
        <w:tc>
          <w:tcPr>
            <w:tcW w:type="dxa" w:w="5726"/>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含义与单位</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阶段/运行</w:t>
            </w:r>
          </w:p>
        </w:tc>
        <w:tc>
          <w:tcPr>
            <w:tcW w:type="dxa" w:w="226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k, t, ω, c</w:t>
            </w:r>
          </w:p>
        </w:tc>
        <w:tc>
          <w:tcPr>
            <w:tcW w:type="dxa" w:w="572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季度、连续代表周小时、场景树节点、正常/关键N-1状态</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容量</w:t>
            </w:r>
          </w:p>
        </w:tc>
        <w:tc>
          <w:tcPr>
            <w:tcW w:type="dxa" w:w="226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Fₖ, Xₖ</w:t>
            </w:r>
          </w:p>
        </w:tc>
        <w:tc>
          <w:tcPr>
            <w:tcW w:type="dxa" w:w="572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保供容量和条件容量，MW</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建设</w:t>
            </w:r>
          </w:p>
        </w:tc>
        <w:tc>
          <w:tcPr>
            <w:tcW w:type="dxa" w:w="226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zₐ,ₖ</w:t>
            </w:r>
          </w:p>
        </w:tc>
        <w:tc>
          <w:tcPr>
            <w:tcW w:type="dxa" w:w="572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候选工程a在阶段k的启动/可用状态，0-1</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灵活性</w:t>
            </w:r>
          </w:p>
        </w:tc>
        <w:tc>
          <w:tcPr>
            <w:tcW w:type="dxa" w:w="226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c_grid, c_green, r, q</w:t>
            </w:r>
          </w:p>
        </w:tc>
        <w:tc>
          <w:tcPr>
            <w:tcW w:type="dxa" w:w="572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网络削减、绿电移峰、恢复功率和恢复债务，MW/MWh</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服务</w:t>
            </w:r>
          </w:p>
        </w:tc>
        <w:tc>
          <w:tcPr>
            <w:tcW w:type="dxa" w:w="226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u, P_DC</w:t>
            </w:r>
          </w:p>
        </w:tc>
        <w:tc>
          <w:tcPr>
            <w:tcW w:type="dxa" w:w="572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非合同服务缺口和数据中心电网侧功率，MW</w:t>
            </w:r>
          </w:p>
        </w:tc>
      </w:tr>
      <w:tr>
        <w:trPr>
          <w:cantSplit/>
        </w:trPr>
        <w:tc>
          <w:tcPr>
            <w:tcW w:type="dxa" w:w="141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绿电</w:t>
            </w:r>
          </w:p>
        </w:tc>
        <w:tc>
          <w:tcPr>
            <w:tcW w:type="dxa" w:w="226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y_CFE</w:t>
            </w:r>
          </w:p>
        </w:tc>
        <w:tc>
          <w:tcPr>
            <w:tcW w:type="dxa" w:w="572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同小时可归属且网络同时可行的清洁电量，MWh</w:t>
            </w:r>
          </w:p>
        </w:tc>
      </w:tr>
    </w:tbl>
    <w:p>
      <w:pPr>
        <w:spacing w:after="0"/>
      </w:pPr>
    </w:p>
    <w:p>
      <w:pPr>
        <w:pStyle w:val="Heading2"/>
        <w:keepNext/>
        <w:pageBreakBefore w:val="0"/>
        <w:spacing w:before="120" w:after="100"/>
      </w:pPr>
      <w:r>
        <w:rPr>
          <w:rFonts w:ascii="Arial" w:hAnsi="Arial" w:eastAsia="黑体"/>
          <w:b/>
          <w:color w:val="2F5597"/>
          <w:sz w:val="26"/>
        </w:rPr>
        <w:t>4.2 数据中心电网侧需求</w:t>
      </w:r>
    </w:p>
    <w:p>
      <w:pPr>
        <w:spacing w:before="40" w:after="100" w:line="276" w:lineRule="auto"/>
        <w:jc w:val="center"/>
      </w:pPr>
      <w:r>
        <w:rPr>
          <w:rFonts w:ascii="Cambria Math" w:hAnsi="Cambria Math" w:eastAsia="Cambria Math"/>
          <w:i/>
          <w:sz w:val="21"/>
        </w:rPr>
        <w:t>Dₖₜω = P_fixed,ₖ + PUEₖₜω · P_IT,ₖₜω</w:t>
      </w:r>
    </w:p>
    <w:p>
      <w:pPr>
        <w:spacing w:before="40" w:after="100" w:line="276" w:lineRule="auto"/>
        <w:jc w:val="center"/>
      </w:pPr>
      <w:r>
        <w:rPr>
          <w:rFonts w:ascii="Cambria Math" w:hAnsi="Cambria Math" w:eastAsia="Cambria Math"/>
          <w:i/>
          <w:sz w:val="21"/>
        </w:rPr>
        <w:t>P_IT,ₖₜω = min{P_IT,max, C_rack,ₖ · aₖω · ρₖₜω · p_rack,ₖω}</w:t>
      </w:r>
    </w:p>
    <w:p>
      <w:pPr>
        <w:spacing w:before="0" w:after="80" w:line="307" w:lineRule="auto"/>
        <w:ind w:firstLine="420"/>
      </w:pPr>
      <w:r>
        <w:rPr>
          <w:rFonts w:ascii="Times New Roman" w:hAnsi="Times New Roman" w:eastAsia="宋体"/>
          <w:sz w:val="21"/>
        </w:rPr>
        <w:t>a表示已激活机柜比例，ρ表示激活机柜的平均IT利用率，p_rack表示设计或设备代际对应的额定功率密度。PUE、设计功率密度和利用率必须分开定义，避免重复缩放。</w:t>
      </w:r>
    </w:p>
    <w:p>
      <w:pPr>
        <w:pStyle w:val="Heading2"/>
        <w:keepNext/>
        <w:pageBreakBefore w:val="0"/>
        <w:spacing w:before="120" w:after="100"/>
      </w:pPr>
      <w:r>
        <w:rPr>
          <w:rFonts w:ascii="Arial" w:hAnsi="Arial" w:eastAsia="黑体"/>
          <w:b/>
          <w:color w:val="2F5597"/>
          <w:sz w:val="26"/>
        </w:rPr>
        <w:t>4.3 F/X容量与扩建</w:t>
      </w:r>
    </w:p>
    <w:p>
      <w:pPr>
        <w:spacing w:before="40" w:after="100" w:line="276" w:lineRule="auto"/>
        <w:jc w:val="center"/>
      </w:pPr>
      <w:r>
        <w:rPr>
          <w:rFonts w:ascii="Cambria Math" w:hAnsi="Cambria Math" w:eastAsia="Cambria Math"/>
          <w:i/>
          <w:sz w:val="21"/>
        </w:rPr>
        <w:t>Fₖ + Xₖ ≤ C̄_POI,ₖ(z, δ)</w:t>
      </w:r>
    </w:p>
    <w:p>
      <w:pPr>
        <w:spacing w:before="40" w:after="100" w:line="276" w:lineRule="auto"/>
        <w:jc w:val="center"/>
      </w:pPr>
      <w:r>
        <w:rPr>
          <w:rFonts w:ascii="Cambria Math" w:hAnsi="Cambria Math" w:eastAsia="Cambria Math"/>
          <w:i/>
          <w:sz w:val="21"/>
        </w:rPr>
        <w:t>Fₖ ≥ Fₖ₋₁，0 ≤ Xₖ ≤ X̄ₖ</w:t>
      </w:r>
    </w:p>
    <w:p>
      <w:pPr>
        <w:spacing w:before="0" w:after="80" w:line="307" w:lineRule="auto"/>
        <w:ind w:firstLine="420"/>
      </w:pPr>
      <w:r>
        <w:rPr>
          <w:rFonts w:ascii="Times New Roman" w:hAnsi="Times New Roman" w:eastAsia="宋体"/>
          <w:sz w:val="21"/>
        </w:rPr>
        <w:t>删除U容量。扩建完成通过接入点可用容量上限增加，使后续阶段能够释放更多F或X。候选工程至少包含一个中期局部增容和一个长期永久扩建，避免单一工程人为放大分阶段接入价值。</w:t>
      </w:r>
    </w:p>
    <w:p>
      <w:pPr>
        <w:pStyle w:val="Heading2"/>
        <w:keepNext/>
        <w:pageBreakBefore w:val="0"/>
        <w:spacing w:before="120" w:after="100"/>
      </w:pPr>
      <w:r>
        <w:rPr>
          <w:rFonts w:ascii="Arial" w:hAnsi="Arial" w:eastAsia="黑体"/>
          <w:b/>
          <w:color w:val="2F5597"/>
          <w:sz w:val="26"/>
        </w:rPr>
        <w:t>4.4 服务平衡与统一灵活性预算</w:t>
      </w:r>
    </w:p>
    <w:p>
      <w:pPr>
        <w:spacing w:before="40" w:after="100" w:line="276" w:lineRule="auto"/>
        <w:jc w:val="center"/>
      </w:pPr>
      <w:r>
        <w:rPr>
          <w:rFonts w:ascii="Cambria Math" w:hAnsi="Cambria Math" w:eastAsia="Cambria Math"/>
          <w:i/>
          <w:sz w:val="21"/>
        </w:rPr>
        <w:t>P_DC,ₖₜωc = Dₖₜω − c_grid,ₖₜωc − c_green,ₖₜω − uₖₜωc + rₖₜω</w:t>
      </w:r>
    </w:p>
    <w:p>
      <w:pPr>
        <w:spacing w:before="40" w:after="100" w:line="276" w:lineRule="auto"/>
        <w:jc w:val="center"/>
      </w:pPr>
      <w:r>
        <w:rPr>
          <w:rFonts w:ascii="Cambria Math" w:hAnsi="Cambria Math" w:eastAsia="Cambria Math"/>
          <w:i/>
          <w:sz w:val="21"/>
        </w:rPr>
        <w:t>c_grid,ₖₜωc + c_green,ₖₜω ≤ D_flex,ₖₜω</w:t>
      </w:r>
    </w:p>
    <w:p>
      <w:pPr>
        <w:spacing w:before="40" w:after="100" w:line="276" w:lineRule="auto"/>
        <w:jc w:val="center"/>
      </w:pPr>
      <w:r>
        <w:rPr>
          <w:rFonts w:ascii="Cambria Math" w:hAnsi="Cambria Math" w:eastAsia="Cambria Math"/>
          <w:i/>
          <w:sz w:val="21"/>
        </w:rPr>
        <w:t>qₜ₊₁ = qₜ + (c_grid,ₜ + c_green,ₜ)Δt − rₜΔt</w:t>
      </w:r>
    </w:p>
    <w:p>
      <w:pPr>
        <w:spacing w:before="40" w:after="100" w:line="276" w:lineRule="auto"/>
        <w:jc w:val="center"/>
      </w:pPr>
      <w:r>
        <w:rPr>
          <w:rFonts w:ascii="Cambria Math" w:hAnsi="Cambria Math" w:eastAsia="Cambria Math"/>
          <w:i/>
          <w:sz w:val="21"/>
        </w:rPr>
        <w:t>0 ≤ qₜ ≤ Q_max，0 ≤ rₜ ≤ R_rec</w:t>
      </w:r>
    </w:p>
    <w:p>
      <w:pPr>
        <w:spacing w:before="0" w:after="80" w:line="307" w:lineRule="auto"/>
        <w:ind w:firstLine="420"/>
      </w:pPr>
      <w:r>
        <w:rPr>
          <w:rFonts w:ascii="Times New Roman" w:hAnsi="Times New Roman" w:eastAsia="宋体"/>
          <w:sz w:val="21"/>
        </w:rPr>
        <w:t>c_grid和c_green必须分开统计，但共享同一柔性负荷上限。若部分削减对应永久丢弃而非延期恢复，应另设业务损失变量，不得将其全部计入恢复债务。完整包络还包括最大连续时间、事件次数、事件间恢复时间和累计能量。</w:t>
      </w:r>
    </w:p>
    <w:tbl>
      <w:tblPr>
        <w:tblStyle w:val="TableGrid"/>
        <w:tblW w:type="auto" w:w="0"/>
        <w:jc w:val="center"/>
        <w:tblLook w:firstColumn="1" w:firstRow="1" w:lastColumn="0" w:lastRow="0" w:noHBand="0" w:noVBand="1" w:val="04A0"/>
      </w:tblPr>
      <w:tblGrid>
        <w:gridCol w:w="9866"/>
      </w:tblGrid>
      <w:tr>
        <w:tc>
          <w:tcPr>
            <w:tcW w:type="dxa" w:w="9866"/>
            <w:shd w:fill="FCE4D6"/>
            <w:tcMar>
              <w:top w:w="120" w:type="dxa"/>
              <w:start w:w="150" w:type="dxa"/>
              <w:bottom w:w="120" w:type="dxa"/>
              <w:end w:w="150" w:type="dxa"/>
            </w:tcMar>
          </w:tcPr>
          <w:p>
            <w:pPr>
              <w:spacing w:before="0" w:after="0" w:line="288" w:lineRule="auto"/>
            </w:pPr>
            <w:r>
              <w:rPr>
                <w:rFonts w:ascii="Times New Roman" w:hAnsi="Times New Roman" w:eastAsia="宋体"/>
                <w:b/>
                <w:color w:val="C55A11"/>
                <w:sz w:val="21"/>
              </w:rPr>
              <w:t>第二创新的核心约束：</w:t>
            </w:r>
            <w:r>
              <w:rPr>
                <w:rFonts w:ascii="Times New Roman" w:hAnsi="Times New Roman" w:eastAsia="宋体"/>
                <w:sz w:val="21"/>
              </w:rPr>
              <w:t>禁止同一MW柔性工作负载既被安排到新能源高出力时段，又在同一风险窗口内被承诺为事故后条件削减。论文必须比较“允许重复承诺”和“禁止重复承诺”两种模型。</w:t>
            </w:r>
          </w:p>
        </w:tc>
      </w:tr>
    </w:tbl>
    <w:p>
      <w:pPr>
        <w:spacing w:after="0"/>
      </w:pPr>
    </w:p>
    <w:p>
      <w:pPr>
        <w:pStyle w:val="Heading2"/>
        <w:keepNext/>
        <w:pageBreakBefore w:val="0"/>
        <w:spacing w:before="120" w:after="100"/>
      </w:pPr>
      <w:r>
        <w:rPr>
          <w:rFonts w:ascii="Arial" w:hAnsi="Arial" w:eastAsia="黑体"/>
          <w:b/>
          <w:color w:val="2F5597"/>
          <w:sz w:val="26"/>
        </w:rPr>
        <w:t>4.5 N-1安全</w:t>
      </w:r>
    </w:p>
    <w:p>
      <w:pPr>
        <w:spacing w:before="40" w:after="100" w:line="276" w:lineRule="auto"/>
        <w:jc w:val="center"/>
      </w:pPr>
      <w:r>
        <w:rPr>
          <w:rFonts w:ascii="Cambria Math" w:hAnsi="Cambria Math" w:eastAsia="Cambria Math"/>
          <w:i/>
          <w:sz w:val="21"/>
        </w:rPr>
        <w:t>−F̄ₗ,ₖ ≤ fₗ,ₖₜωc ≤ F̄ₗ,ₖ，∀c ∈ C_critical</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网络热越限是硬约束，CVaR不用于放松N-1安全。</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F对应的刚性服务在关键N-1下保持可供；X只能按合同响应时间被纠正削减。</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主模型使用DC安全约束，候选最优方案进行AC潮流或AC-OPF事后复核。</w:t>
      </w:r>
    </w:p>
    <w:p>
      <w:pPr>
        <w:pStyle w:val="Heading2"/>
        <w:keepNext/>
        <w:pageBreakBefore w:val="0"/>
        <w:spacing w:before="120" w:after="100"/>
      </w:pPr>
      <w:r>
        <w:rPr>
          <w:rFonts w:ascii="Arial" w:hAnsi="Arial" w:eastAsia="黑体"/>
          <w:b/>
          <w:color w:val="2F5597"/>
          <w:sz w:val="26"/>
        </w:rPr>
        <w:t>4.6 年度与小时级绿电匹配</w:t>
      </w:r>
    </w:p>
    <w:p>
      <w:pPr>
        <w:spacing w:before="40" w:after="100" w:line="276" w:lineRule="auto"/>
        <w:jc w:val="center"/>
      </w:pPr>
      <w:r>
        <w:rPr>
          <w:rFonts w:ascii="Cambria Math" w:hAnsi="Cambria Math" w:eastAsia="Cambria Math"/>
          <w:i/>
          <w:sz w:val="21"/>
        </w:rPr>
        <w:t>Σₜ y_CFE,ₖₜω ≥ α_annual · Σₜ P_DC,ₖₜω</w:t>
      </w:r>
    </w:p>
    <w:p>
      <w:pPr>
        <w:spacing w:before="40" w:after="100" w:line="276" w:lineRule="auto"/>
        <w:jc w:val="center"/>
      </w:pPr>
      <w:r>
        <w:rPr>
          <w:rFonts w:ascii="Cambria Math" w:hAnsi="Cambria Math" w:eastAsia="Cambria Math"/>
          <w:i/>
          <w:sz w:val="21"/>
        </w:rPr>
        <w:t>y_CFE,ₖₜω ≥ α_hour · P_DC,ₖₜω，∀t</w:t>
      </w:r>
    </w:p>
    <w:p>
      <w:pPr>
        <w:spacing w:before="40" w:after="100" w:line="276" w:lineRule="auto"/>
        <w:jc w:val="center"/>
      </w:pPr>
      <w:r>
        <w:rPr>
          <w:rFonts w:ascii="Cambria Math" w:hAnsi="Cambria Math" w:eastAsia="Cambria Math"/>
          <w:i/>
          <w:sz w:val="21"/>
        </w:rPr>
        <w:t>0 ≤ y_CFE,ₖₜω ≤ min{P_DC,ₖₜω, Σg∈G_CFE P_g,ₖₜω}</w:t>
      </w:r>
    </w:p>
    <w:p>
      <w:pPr>
        <w:spacing w:before="40" w:after="100" w:line="276" w:lineRule="auto"/>
        <w:jc w:val="center"/>
      </w:pPr>
      <w:r>
        <w:rPr>
          <w:rFonts w:ascii="Cambria Math" w:hAnsi="Cambria Math" w:eastAsia="Cambria Math"/>
          <w:i/>
          <w:sz w:val="21"/>
        </w:rPr>
        <w:t>CFE Score = Σₜ y_CFE,ₖₜω / Σₜ P_DC,ₖₜω</w:t>
      </w:r>
    </w:p>
    <w:p>
      <w:pPr>
        <w:spacing w:before="0" w:after="80" w:line="307" w:lineRule="auto"/>
        <w:ind w:firstLine="420"/>
      </w:pPr>
      <w:r>
        <w:rPr>
          <w:rFonts w:ascii="Times New Roman" w:hAnsi="Times New Roman" w:eastAsia="宋体"/>
          <w:sz w:val="21"/>
        </w:rPr>
        <w:t>y_CFE是同小时可归属的清洁电量，不是电子流向追踪。清洁机组注入、数据中心负荷和网络潮流必须共同可行。MVP不加入储能属性追踪和绿证交易，以免绿电模块吞噬接入主线。</w:t>
      </w:r>
    </w:p>
    <w:p>
      <w:pPr>
        <w:pStyle w:val="Heading2"/>
        <w:keepNext/>
        <w:pageBreakBefore w:val="0"/>
        <w:spacing w:before="120" w:after="100"/>
      </w:pPr>
      <w:r>
        <w:rPr>
          <w:rFonts w:ascii="Arial" w:hAnsi="Arial" w:eastAsia="黑体"/>
          <w:b/>
          <w:color w:val="2F5597"/>
          <w:sz w:val="26"/>
        </w:rPr>
        <w:t>4.7 目标函数与适应性价值</w:t>
      </w:r>
    </w:p>
    <w:p>
      <w:pPr>
        <w:spacing w:before="0" w:after="60" w:line="293" w:lineRule="auto"/>
        <w:ind w:left="397" w:hanging="397"/>
      </w:pPr>
      <w:r>
        <w:rPr>
          <w:rFonts w:ascii="Times New Roman" w:hAnsi="Times New Roman" w:eastAsia="宋体"/>
          <w:b/>
          <w:color w:val="2F5597"/>
          <w:sz w:val="21"/>
        </w:rPr>
        <w:t xml:space="preserve">1. </w:t>
      </w:r>
      <w:r>
        <w:rPr>
          <w:rFonts w:ascii="Times New Roman" w:hAnsi="Times New Roman" w:eastAsia="宋体"/>
          <w:sz w:val="21"/>
        </w:rPr>
        <w:t>第一优先级：正常状态和关键N-1零热越限，满足刚性负荷服务。</w:t>
      </w:r>
    </w:p>
    <w:p>
      <w:pPr>
        <w:spacing w:before="0" w:after="60" w:line="293" w:lineRule="auto"/>
        <w:ind w:left="397" w:hanging="397"/>
      </w:pPr>
      <w:r>
        <w:rPr>
          <w:rFonts w:ascii="Times New Roman" w:hAnsi="Times New Roman" w:eastAsia="宋体"/>
          <w:b/>
          <w:color w:val="2F5597"/>
          <w:sz w:val="21"/>
        </w:rPr>
        <w:t xml:space="preserve">2. </w:t>
      </w:r>
      <w:r>
        <w:rPr>
          <w:rFonts w:ascii="Times New Roman" w:hAnsi="Times New Roman" w:eastAsia="宋体"/>
          <w:sz w:val="21"/>
        </w:rPr>
        <w:t>第二优先级：满足预设T20/T50里程碑和年度或小时级CFE目标。</w:t>
      </w:r>
    </w:p>
    <w:p>
      <w:pPr>
        <w:spacing w:before="0" w:after="60" w:line="293" w:lineRule="auto"/>
        <w:ind w:left="397" w:hanging="397"/>
      </w:pPr>
      <w:r>
        <w:rPr>
          <w:rFonts w:ascii="Times New Roman" w:hAnsi="Times New Roman" w:eastAsia="宋体"/>
          <w:b/>
          <w:color w:val="2F5597"/>
          <w:sz w:val="21"/>
        </w:rPr>
        <w:t xml:space="preserve">3. </w:t>
      </w:r>
      <w:r>
        <w:rPr>
          <w:rFonts w:ascii="Times New Roman" w:hAnsi="Times New Roman" w:eastAsia="宋体"/>
          <w:sz w:val="21"/>
        </w:rPr>
        <w:t>第三优先级：最小化年化扩建成本、期望服务损失及服务损失CVaR。</w:t>
      </w:r>
    </w:p>
    <w:p>
      <w:pPr>
        <w:spacing w:before="40" w:after="100" w:line="276" w:lineRule="auto"/>
        <w:jc w:val="center"/>
      </w:pPr>
      <w:r>
        <w:rPr>
          <w:rFonts w:ascii="Cambria Math" w:hAnsi="Cambria Math" w:eastAsia="Cambria Math"/>
          <w:i/>
          <w:sz w:val="21"/>
        </w:rPr>
        <w:t>min C_grid + Eω[C_delay + C_curt + C_CFEgap] + λ·CVaRβ(L_service)</w:t>
      </w:r>
    </w:p>
    <w:p>
      <w:pPr>
        <w:spacing w:before="40" w:after="100" w:line="276" w:lineRule="auto"/>
        <w:jc w:val="center"/>
      </w:pPr>
      <w:r>
        <w:rPr>
          <w:rFonts w:ascii="Cambria Math" w:hAnsi="Cambria Math" w:eastAsia="Cambria Math"/>
          <w:i/>
          <w:sz w:val="21"/>
        </w:rPr>
        <w:t>VMA = J_two-stage,out-of-sample − J_multistage,out-of-sample</w:t>
      </w:r>
    </w:p>
    <w:p>
      <w:pPr>
        <w:spacing w:before="0" w:after="80" w:line="307" w:lineRule="auto"/>
        <w:ind w:firstLine="420"/>
      </w:pPr>
      <w:r>
        <w:rPr>
          <w:rFonts w:ascii="Times New Roman" w:hAnsi="Times New Roman" w:eastAsia="宋体"/>
          <w:sz w:val="21"/>
        </w:rPr>
        <w:t>unused MW-year仅作为物理效率指标，不直接货币化。VMA必须在相同场景外样本、相同安全标准和相同绿电目标下计算。</w:t>
      </w:r>
    </w:p>
    <w:p>
      <w:pPr>
        <w:pStyle w:val="Heading1"/>
        <w:keepNext/>
        <w:pageBreakBefore/>
        <w:spacing w:before="180" w:after="100"/>
      </w:pPr>
      <w:r>
        <w:rPr>
          <w:rFonts w:ascii="Arial" w:hAnsi="Arial" w:eastAsia="黑体"/>
          <w:b/>
          <w:color w:val="17365D"/>
          <w:sz w:val="32"/>
        </w:rPr>
        <w:t>五、三组核心实验</w:t>
      </w:r>
    </w:p>
    <w:p>
      <w:pPr>
        <w:pStyle w:val="Heading2"/>
        <w:keepNext/>
        <w:pageBreakBefore w:val="0"/>
        <w:spacing w:before="120" w:after="100"/>
      </w:pPr>
      <w:r>
        <w:rPr>
          <w:rFonts w:ascii="Arial" w:hAnsi="Arial" w:eastAsia="黑体"/>
          <w:b/>
          <w:color w:val="2F5597"/>
          <w:sz w:val="26"/>
        </w:rPr>
        <w:t>5.1 实验A：多阶段适应性价值</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84"/>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比较方法</w:t>
            </w:r>
          </w:p>
        </w:tc>
        <w:tc>
          <w:tcPr>
            <w:tcW w:type="dxa" w:w="4139"/>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关键变化</w:t>
            </w:r>
          </w:p>
        </w:tc>
        <w:tc>
          <w:tcPr>
            <w:tcW w:type="dxa" w:w="328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主要输出</w:t>
            </w:r>
          </w:p>
        </w:tc>
      </w:tr>
      <w:tr>
        <w:trPr>
          <w:cantSplit/>
        </w:trPr>
        <w:tc>
          <w:tcPr>
            <w:tcW w:type="dxa" w:w="198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B0 等待全部扩建</w:t>
            </w:r>
          </w:p>
        </w:tc>
        <w:tc>
          <w:tcPr>
            <w:tcW w:type="dxa" w:w="413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永久扩建完成后一次性保供接入</w:t>
            </w:r>
          </w:p>
        </w:tc>
        <w:tc>
          <w:tcPr>
            <w:tcW w:type="dxa" w:w="328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保守基准</w:t>
            </w:r>
          </w:p>
        </w:tc>
      </w:tr>
      <w:tr>
        <w:trPr>
          <w:cantSplit/>
        </w:trPr>
        <w:tc>
          <w:tcPr>
            <w:tcW w:type="dxa" w:w="198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B1 确定性分阶段</w:t>
            </w:r>
          </w:p>
        </w:tc>
        <w:tc>
          <w:tcPr>
            <w:tcW w:type="dxa" w:w="413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按平均达产路径释放F/X</w:t>
            </w:r>
          </w:p>
        </w:tc>
        <w:tc>
          <w:tcPr>
            <w:tcW w:type="dxa" w:w="328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忽略不确定性的代价</w:t>
            </w:r>
          </w:p>
        </w:tc>
      </w:tr>
      <w:tr>
        <w:trPr>
          <w:cantSplit/>
        </w:trPr>
        <w:tc>
          <w:tcPr>
            <w:tcW w:type="dxa" w:w="198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B2 静态F/X</w:t>
            </w:r>
          </w:p>
        </w:tc>
        <w:tc>
          <w:tcPr>
            <w:tcW w:type="dxa" w:w="413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一次确定容量，不利用季度信息</w:t>
            </w:r>
          </w:p>
        </w:tc>
        <w:tc>
          <w:tcPr>
            <w:tcW w:type="dxa" w:w="328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对齐直接竞争思路</w:t>
            </w:r>
          </w:p>
        </w:tc>
      </w:tr>
      <w:tr>
        <w:trPr>
          <w:cantSplit/>
        </w:trPr>
        <w:tc>
          <w:tcPr>
            <w:tcW w:type="dxa" w:w="198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B3 两阶段随机</w:t>
            </w:r>
          </w:p>
        </w:tc>
        <w:tc>
          <w:tcPr>
            <w:tcW w:type="dxa" w:w="413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初始建设决策+场景后运行补救</w:t>
            </w:r>
          </w:p>
        </w:tc>
        <w:tc>
          <w:tcPr>
            <w:tcW w:type="dxa" w:w="328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中间信息价值</w:t>
            </w:r>
          </w:p>
        </w:tc>
      </w:tr>
      <w:tr>
        <w:trPr>
          <w:cantSplit/>
        </w:trPr>
        <w:tc>
          <w:tcPr>
            <w:tcW w:type="dxa" w:w="198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B4 多阶段自适应</w:t>
            </w:r>
          </w:p>
        </w:tc>
        <w:tc>
          <w:tcPr>
            <w:tcW w:type="dxa" w:w="413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季度节点调整F/X与未开工工程</w:t>
            </w:r>
          </w:p>
        </w:tc>
        <w:tc>
          <w:tcPr>
            <w:tcW w:type="dxa" w:w="328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核心方法</w:t>
            </w:r>
          </w:p>
        </w:tc>
      </w:tr>
      <w:tr>
        <w:trPr>
          <w:cantSplit/>
        </w:trPr>
        <w:tc>
          <w:tcPr>
            <w:tcW w:type="dxa" w:w="198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B5 完美信息</w:t>
            </w:r>
          </w:p>
        </w:tc>
        <w:tc>
          <w:tcPr>
            <w:tcW w:type="dxa" w:w="413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提前知道完整路径</w:t>
            </w:r>
          </w:p>
        </w:tc>
        <w:tc>
          <w:tcPr>
            <w:tcW w:type="dxa" w:w="328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信息价值下界</w:t>
            </w:r>
          </w:p>
        </w:tc>
      </w:tr>
    </w:tbl>
    <w:p>
      <w:pPr>
        <w:spacing w:after="0"/>
      </w:pPr>
    </w:p>
    <w:p>
      <w:pPr>
        <w:spacing w:before="0" w:after="80" w:line="307" w:lineRule="auto"/>
        <w:ind w:firstLine="420"/>
      </w:pPr>
      <w:r>
        <w:rPr>
          <w:rFonts w:ascii="Times New Roman" w:hAnsi="Times New Roman" w:eastAsia="宋体"/>
          <w:sz w:val="21"/>
        </w:rPr>
        <w:t>输出T20、T50、T100、VMA、服务缺口CVaR、扩建启动季度、unused MW-year和F/X轨迹。</w:t>
      </w:r>
    </w:p>
    <w:p>
      <w:pPr>
        <w:pStyle w:val="Heading2"/>
        <w:keepNext/>
        <w:pageBreakBefore w:val="0"/>
        <w:spacing w:before="120" w:after="100"/>
      </w:pPr>
      <w:r>
        <w:rPr>
          <w:rFonts w:ascii="Arial" w:hAnsi="Arial" w:eastAsia="黑体"/>
          <w:b/>
          <w:color w:val="2F5597"/>
          <w:sz w:val="26"/>
        </w:rPr>
        <w:t>5.2 实验B：灵活性重复承诺</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模型</w:t>
            </w:r>
          </w:p>
        </w:tc>
        <w:tc>
          <w:tcPr>
            <w:tcW w:type="dxa" w:w="4082"/>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处理方式</w:t>
            </w:r>
          </w:p>
        </w:tc>
        <w:tc>
          <w:tcPr>
            <w:tcW w:type="dxa" w:w="3231"/>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验证目的</w:t>
            </w:r>
          </w:p>
        </w:tc>
      </w:tr>
      <w:tr>
        <w:trPr>
          <w:cantSplit/>
        </w:trPr>
        <w:tc>
          <w:tcPr>
            <w:tcW w:type="dxa" w:w="209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双重计算模型</w:t>
            </w:r>
          </w:p>
        </w:tc>
        <w:tc>
          <w:tcPr>
            <w:tcW w:type="dxa" w:w="408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绿电移峰与网络削减分别使用全部柔性比例</w:t>
            </w:r>
          </w:p>
        </w:tc>
        <w:tc>
          <w:tcPr>
            <w:tcW w:type="dxa" w:w="323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构造常见错误基线</w:t>
            </w:r>
          </w:p>
        </w:tc>
      </w:tr>
      <w:tr>
        <w:trPr>
          <w:cantSplit/>
        </w:trPr>
        <w:tc>
          <w:tcPr>
            <w:tcW w:type="dxa" w:w="209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统一预算模型</w:t>
            </w:r>
          </w:p>
        </w:tc>
        <w:tc>
          <w:tcPr>
            <w:tcW w:type="dxa" w:w="408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c_grid+c_green不超过实际柔性上限</w:t>
            </w:r>
          </w:p>
        </w:tc>
        <w:tc>
          <w:tcPr>
            <w:tcW w:type="dxa" w:w="323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量化X高估和违约风险</w:t>
            </w:r>
          </w:p>
        </w:tc>
      </w:tr>
      <w:tr>
        <w:trPr>
          <w:cantSplit/>
        </w:trPr>
        <w:tc>
          <w:tcPr>
            <w:tcW w:type="dxa" w:w="209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MW-only模型</w:t>
            </w:r>
          </w:p>
        </w:tc>
        <w:tc>
          <w:tcPr>
            <w:tcW w:type="dxa" w:w="408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只限制可削减MW</w:t>
            </w:r>
          </w:p>
        </w:tc>
        <w:tc>
          <w:tcPr>
            <w:tcW w:type="dxa" w:w="323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检验持续时间/债务的必要性</w:t>
            </w:r>
          </w:p>
        </w:tc>
      </w:tr>
      <w:tr>
        <w:trPr>
          <w:cantSplit/>
        </w:trPr>
        <w:tc>
          <w:tcPr>
            <w:tcW w:type="dxa" w:w="209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完整包络模型</w:t>
            </w:r>
          </w:p>
        </w:tc>
        <w:tc>
          <w:tcPr>
            <w:tcW w:type="dxa" w:w="408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增加持续时间、事件次数和恢复债务</w:t>
            </w:r>
          </w:p>
        </w:tc>
        <w:tc>
          <w:tcPr>
            <w:tcW w:type="dxa" w:w="323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形成可执行容量产品</w:t>
            </w:r>
          </w:p>
        </w:tc>
      </w:tr>
    </w:tbl>
    <w:p>
      <w:pPr>
        <w:spacing w:after="0"/>
      </w:pPr>
    </w:p>
    <w:p>
      <w:pPr>
        <w:spacing w:before="0" w:after="80" w:line="307" w:lineRule="auto"/>
        <w:ind w:firstLine="420"/>
      </w:pPr>
      <w:r>
        <w:rPr>
          <w:rFonts w:ascii="Times New Roman" w:hAnsi="Times New Roman" w:eastAsia="宋体"/>
          <w:sz w:val="21"/>
        </w:rPr>
        <w:t>输出X高估量、场景外违约概率、最大连续削减、债务峰值、恢复功率峰值和联合压力情景下的服务缺口。</w:t>
      </w:r>
    </w:p>
    <w:p>
      <w:pPr>
        <w:pStyle w:val="Heading2"/>
        <w:keepNext/>
        <w:pageBreakBefore w:val="0"/>
        <w:spacing w:before="120" w:after="100"/>
      </w:pPr>
      <w:r>
        <w:rPr>
          <w:rFonts w:ascii="Arial" w:hAnsi="Arial" w:eastAsia="黑体"/>
          <w:b/>
          <w:color w:val="2F5597"/>
          <w:sz w:val="26"/>
        </w:rPr>
        <w:t>5.3 实验C：绿电时间粒度</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134"/>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情景</w:t>
            </w:r>
          </w:p>
        </w:tc>
        <w:tc>
          <w:tcPr>
            <w:tcW w:type="dxa" w:w="3402"/>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目标</w:t>
            </w:r>
          </w:p>
        </w:tc>
        <w:tc>
          <w:tcPr>
            <w:tcW w:type="dxa" w:w="4876"/>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需要回答的问题</w:t>
            </w:r>
          </w:p>
        </w:tc>
      </w:tr>
      <w:tr>
        <w:trPr>
          <w:cantSplit/>
        </w:trPr>
        <w:tc>
          <w:tcPr>
            <w:tcW w:type="dxa" w:w="113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G0</w:t>
            </w:r>
          </w:p>
        </w:tc>
        <w:tc>
          <w:tcPr>
            <w:tcW w:type="dxa" w:w="340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无强制CFE</w:t>
            </w:r>
          </w:p>
        </w:tc>
        <w:tc>
          <w:tcPr>
            <w:tcW w:type="dxa" w:w="487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纯接入和扩建基准</w:t>
            </w:r>
          </w:p>
        </w:tc>
      </w:tr>
      <w:tr>
        <w:trPr>
          <w:cantSplit/>
        </w:trPr>
        <w:tc>
          <w:tcPr>
            <w:tcW w:type="dxa" w:w="113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G1</w:t>
            </w:r>
          </w:p>
        </w:tc>
        <w:tc>
          <w:tcPr>
            <w:tcW w:type="dxa" w:w="340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年度50%/80%匹配</w:t>
            </w:r>
          </w:p>
        </w:tc>
        <w:tc>
          <w:tcPr>
            <w:tcW w:type="dxa" w:w="487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年度目标是否只改变能量和成本</w:t>
            </w:r>
          </w:p>
        </w:tc>
      </w:tr>
      <w:tr>
        <w:trPr>
          <w:cantSplit/>
        </w:trPr>
        <w:tc>
          <w:tcPr>
            <w:tcW w:type="dxa" w:w="113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G2</w:t>
            </w:r>
          </w:p>
        </w:tc>
        <w:tc>
          <w:tcPr>
            <w:tcW w:type="dxa" w:w="340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小时级50%/80%CFE</w:t>
            </w:r>
          </w:p>
        </w:tc>
        <w:tc>
          <w:tcPr>
            <w:tcW w:type="dxa" w:w="487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是否改变F/X、扩建和灵活性分配</w:t>
            </w:r>
          </w:p>
        </w:tc>
      </w:tr>
      <w:tr>
        <w:trPr>
          <w:cantSplit/>
        </w:trPr>
        <w:tc>
          <w:tcPr>
            <w:tcW w:type="dxa" w:w="113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G3</w:t>
            </w:r>
          </w:p>
        </w:tc>
        <w:tc>
          <w:tcPr>
            <w:tcW w:type="dxa" w:w="340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小时级90%/100%压力测试</w:t>
            </w:r>
          </w:p>
        </w:tc>
        <w:tc>
          <w:tcPr>
            <w:tcW w:type="dxa" w:w="4876"/>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识别高绿电目标的失效边界</w:t>
            </w:r>
          </w:p>
        </w:tc>
      </w:tr>
    </w:tbl>
    <w:p>
      <w:pPr>
        <w:spacing w:after="0"/>
      </w:pPr>
    </w:p>
    <w:p>
      <w:pPr>
        <w:spacing w:before="0" w:after="80" w:line="307" w:lineRule="auto"/>
        <w:ind w:firstLine="420"/>
      </w:pPr>
      <w:r>
        <w:rPr>
          <w:rFonts w:ascii="Times New Roman" w:hAnsi="Times New Roman" w:eastAsia="宋体"/>
          <w:sz w:val="21"/>
        </w:rPr>
        <w:t>输出CFE Score、绿电缺口、T20/T50/T100、扩建选择、F/X轨迹和灵活性冲突率。</w:t>
      </w:r>
    </w:p>
    <w:p>
      <w:pPr>
        <w:pStyle w:val="Heading2"/>
        <w:keepNext/>
        <w:pageBreakBefore w:val="0"/>
        <w:spacing w:before="120" w:after="100"/>
      </w:pPr>
      <w:r>
        <w:rPr>
          <w:rFonts w:ascii="Arial" w:hAnsi="Arial" w:eastAsia="黑体"/>
          <w:b/>
          <w:color w:val="2F5597"/>
          <w:sz w:val="26"/>
        </w:rPr>
        <w:t>5.4 测试系统、时序与场景外验证</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阶段</w:t>
            </w:r>
          </w:p>
        </w:tc>
        <w:tc>
          <w:tcPr>
            <w:tcW w:type="dxa" w:w="4932"/>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配置</w:t>
            </w:r>
          </w:p>
        </w:tc>
        <w:tc>
          <w:tcPr>
            <w:tcW w:type="dxa" w:w="2891"/>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用途</w:t>
            </w:r>
          </w:p>
        </w:tc>
      </w:tr>
      <w:tr>
        <w:trPr>
          <w:cantSplit/>
        </w:trPr>
        <w:tc>
          <w:tcPr>
            <w:tcW w:type="dxa" w:w="158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调试MVP</w:t>
            </w:r>
          </w:p>
        </w:tc>
        <w:tc>
          <w:tcPr>
            <w:tcW w:type="dxa" w:w="493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RTS-24；250 MW；12季度；8—16个场景叶节点；每季连续代表周</w:t>
            </w:r>
          </w:p>
        </w:tc>
        <w:tc>
          <w:tcPr>
            <w:tcW w:type="dxa" w:w="289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验证信息结构和模型闭环</w:t>
            </w:r>
          </w:p>
        </w:tc>
      </w:tr>
      <w:tr>
        <w:trPr>
          <w:cantSplit/>
        </w:trPr>
        <w:tc>
          <w:tcPr>
            <w:tcW w:type="dxa" w:w="158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主验证</w:t>
            </w:r>
          </w:p>
        </w:tc>
        <w:tc>
          <w:tcPr>
            <w:tcW w:type="dxa" w:w="493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RTS-GMLC；20—50个候选POI；多类扩建项目</w:t>
            </w:r>
          </w:p>
        </w:tc>
        <w:tc>
          <w:tcPr>
            <w:tcW w:type="dxa" w:w="289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形成网架适用边界</w:t>
            </w:r>
          </w:p>
        </w:tc>
      </w:tr>
      <w:tr>
        <w:trPr>
          <w:cantSplit/>
        </w:trPr>
        <w:tc>
          <w:tcPr>
            <w:tcW w:type="dxa" w:w="158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场景外测试</w:t>
            </w:r>
          </w:p>
        </w:tc>
        <w:tc>
          <w:tcPr>
            <w:tcW w:type="dxa" w:w="493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固定策略后运行至少数百条独立需求/延期/新能源路径</w:t>
            </w:r>
          </w:p>
        </w:tc>
        <w:tc>
          <w:tcPr>
            <w:tcW w:type="dxa" w:w="289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验证VMA、违约率和CVaR</w:t>
            </w:r>
          </w:p>
        </w:tc>
      </w:tr>
      <w:tr>
        <w:trPr>
          <w:cantSplit/>
        </w:trPr>
        <w:tc>
          <w:tcPr>
            <w:tcW w:type="dxa" w:w="1587"/>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物理复核</w:t>
            </w:r>
          </w:p>
        </w:tc>
        <w:tc>
          <w:tcPr>
            <w:tcW w:type="dxa" w:w="493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关键最优方案AC潮流/AC-OPF校核</w:t>
            </w:r>
          </w:p>
        </w:tc>
        <w:tc>
          <w:tcPr>
            <w:tcW w:type="dxa" w:w="2891"/>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排除DC近似造成的虚假可行性</w:t>
            </w:r>
          </w:p>
        </w:tc>
      </w:tr>
    </w:tbl>
    <w:p>
      <w:pPr>
        <w:spacing w:after="0"/>
      </w:pPr>
    </w:p>
    <w:p>
      <w:pPr>
        <w:spacing w:before="0" w:after="80" w:line="307" w:lineRule="auto"/>
        <w:ind w:firstLine="420"/>
      </w:pPr>
      <w:r>
        <w:rPr>
          <w:rFonts w:ascii="Times New Roman" w:hAnsi="Times New Roman" w:eastAsia="宋体"/>
          <w:sz w:val="21"/>
        </w:rPr>
        <w:t>恢复债务只能在连续代表周或多日压力窗口内传递。不得使用无链接代表日证明最大持续时间和日际恢复能力。场景范围在看结果前预设，不得因方法无优势而只向更拥塞、更延期的方向调参。</w:t>
      </w:r>
    </w:p>
    <w:p>
      <w:pPr>
        <w:pStyle w:val="Heading1"/>
        <w:keepNext/>
        <w:pageBreakBefore/>
        <w:spacing w:before="180" w:after="100"/>
      </w:pPr>
      <w:r>
        <w:rPr>
          <w:rFonts w:ascii="Arial" w:hAnsi="Arial" w:eastAsia="黑体"/>
          <w:b/>
          <w:color w:val="17365D"/>
          <w:sz w:val="32"/>
        </w:rPr>
        <w:t>六、指标、贡献与成败判据</w:t>
      </w:r>
    </w:p>
    <w:p>
      <w:pPr>
        <w:pStyle w:val="Heading2"/>
        <w:keepNext/>
        <w:pageBreakBefore w:val="0"/>
        <w:spacing w:before="120" w:after="100"/>
      </w:pPr>
      <w:r>
        <w:rPr>
          <w:rFonts w:ascii="Arial" w:hAnsi="Arial" w:eastAsia="黑体"/>
          <w:b/>
          <w:color w:val="2F5597"/>
          <w:sz w:val="26"/>
        </w:rPr>
        <w:t>6.1 操作性指标</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指标</w:t>
            </w:r>
          </w:p>
        </w:tc>
        <w:tc>
          <w:tcPr>
            <w:tcW w:type="dxa" w:w="7143"/>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严格定义</w:t>
            </w:r>
          </w:p>
        </w:tc>
      </w:tr>
      <w:tr>
        <w:trPr>
          <w:cantSplit/>
        </w:trPr>
        <w:tc>
          <w:tcPr>
            <w:tcW w:type="dxa" w:w="226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T20/T50/T100</w:t>
            </w:r>
          </w:p>
        </w:tc>
        <w:tc>
          <w:tcPr>
            <w:tcW w:type="dxa" w:w="7143"/>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合同可交付容量首次达到最终申请容量20%/50%/100%的季度</w:t>
            </w:r>
          </w:p>
        </w:tc>
      </w:tr>
      <w:tr>
        <w:trPr>
          <w:cantSplit/>
        </w:trPr>
        <w:tc>
          <w:tcPr>
            <w:tcW w:type="dxa" w:w="226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首个可运营模块</w:t>
            </w:r>
          </w:p>
        </w:tc>
        <w:tc>
          <w:tcPr>
            <w:tcW w:type="dxa" w:w="7143"/>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达到预设B_min并能连续满足规定服务时长的容量块</w:t>
            </w:r>
          </w:p>
        </w:tc>
      </w:tr>
      <w:tr>
        <w:trPr>
          <w:cantSplit/>
        </w:trPr>
        <w:tc>
          <w:tcPr>
            <w:tcW w:type="dxa" w:w="226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VMA</w:t>
            </w:r>
          </w:p>
        </w:tc>
        <w:tc>
          <w:tcPr>
            <w:tcW w:type="dxa" w:w="7143"/>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两阶段与多阶段策略在相同场景外样本上的目标差值</w:t>
            </w:r>
          </w:p>
        </w:tc>
      </w:tr>
      <w:tr>
        <w:trPr>
          <w:cantSplit/>
        </w:trPr>
        <w:tc>
          <w:tcPr>
            <w:tcW w:type="dxa" w:w="226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服务缺口</w:t>
            </w:r>
          </w:p>
        </w:tc>
        <w:tc>
          <w:tcPr>
            <w:tcW w:type="dxa" w:w="7143"/>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需求扣除合同允许削减后仍无法服务的能量</w:t>
            </w:r>
          </w:p>
        </w:tc>
      </w:tr>
      <w:tr>
        <w:trPr>
          <w:cantSplit/>
        </w:trPr>
        <w:tc>
          <w:tcPr>
            <w:tcW w:type="dxa" w:w="226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灵活性冲突率</w:t>
            </w:r>
          </w:p>
        </w:tc>
        <w:tc>
          <w:tcPr>
            <w:tcW w:type="dxa" w:w="7143"/>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同一风险窗口内同时被绿电与网络服务请求的柔性容量比例</w:t>
            </w:r>
          </w:p>
        </w:tc>
      </w:tr>
      <w:tr>
        <w:trPr>
          <w:cantSplit/>
        </w:trPr>
        <w:tc>
          <w:tcPr>
            <w:tcW w:type="dxa" w:w="226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CFE Score</w:t>
            </w:r>
          </w:p>
        </w:tc>
        <w:tc>
          <w:tcPr>
            <w:tcW w:type="dxa" w:w="7143"/>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小时级可归属CFE电量与总用电量之比</w:t>
            </w:r>
          </w:p>
        </w:tc>
      </w:tr>
    </w:tbl>
    <w:p>
      <w:pPr>
        <w:spacing w:after="0"/>
      </w:pPr>
    </w:p>
    <w:p>
      <w:pPr>
        <w:pStyle w:val="Heading2"/>
        <w:keepNext/>
        <w:pageBreakBefore w:val="0"/>
        <w:spacing w:before="120" w:after="100"/>
      </w:pPr>
      <w:r>
        <w:rPr>
          <w:rFonts w:ascii="Arial" w:hAnsi="Arial" w:eastAsia="黑体"/>
          <w:b/>
          <w:color w:val="2F5597"/>
          <w:sz w:val="26"/>
        </w:rPr>
        <w:t>6.2 论文贡献的最终写法</w:t>
      </w:r>
    </w:p>
    <w:p>
      <w:pPr>
        <w:spacing w:before="0" w:after="60" w:line="293" w:lineRule="auto"/>
        <w:ind w:left="397" w:hanging="397"/>
      </w:pPr>
      <w:r>
        <w:rPr>
          <w:rFonts w:ascii="Times New Roman" w:hAnsi="Times New Roman" w:eastAsia="宋体"/>
          <w:b/>
          <w:color w:val="2F5597"/>
          <w:sz w:val="21"/>
        </w:rPr>
        <w:t xml:space="preserve">1. </w:t>
      </w:r>
      <w:r>
        <w:rPr>
          <w:rFonts w:ascii="Times New Roman" w:hAnsi="Times New Roman" w:eastAsia="宋体"/>
          <w:sz w:val="21"/>
        </w:rPr>
        <w:t>构建满足非预见性的多阶段规划模型，在达产和扩建进度逐步揭示时联合决定F/X容量释放与扩建启动，并量化相对静态和两阶段方案的适应性价值。</w:t>
      </w:r>
    </w:p>
    <w:p>
      <w:pPr>
        <w:spacing w:before="0" w:after="60" w:line="293" w:lineRule="auto"/>
        <w:ind w:left="397" w:hanging="397"/>
      </w:pPr>
      <w:r>
        <w:rPr>
          <w:rFonts w:ascii="Times New Roman" w:hAnsi="Times New Roman" w:eastAsia="宋体"/>
          <w:b/>
          <w:color w:val="2F5597"/>
          <w:sz w:val="21"/>
        </w:rPr>
        <w:t xml:space="preserve">2. </w:t>
      </w:r>
      <w:r>
        <w:rPr>
          <w:rFonts w:ascii="Times New Roman" w:hAnsi="Times New Roman" w:eastAsia="宋体"/>
          <w:sz w:val="21"/>
        </w:rPr>
        <w:t>建立网络条件服务与小时级CFE匹配共享的业务灵活性预算，避免同一柔性工作负载被重复承诺。</w:t>
      </w:r>
    </w:p>
    <w:p>
      <w:pPr>
        <w:spacing w:before="0" w:after="60" w:line="293" w:lineRule="auto"/>
        <w:ind w:left="397" w:hanging="397"/>
      </w:pPr>
      <w:r>
        <w:rPr>
          <w:rFonts w:ascii="Times New Roman" w:hAnsi="Times New Roman" w:eastAsia="宋体"/>
          <w:b/>
          <w:color w:val="2F5597"/>
          <w:sz w:val="21"/>
        </w:rPr>
        <w:t xml:space="preserve">3. </w:t>
      </w:r>
      <w:r>
        <w:rPr>
          <w:rFonts w:ascii="Times New Roman" w:hAnsi="Times New Roman" w:eastAsia="宋体"/>
          <w:sz w:val="21"/>
        </w:rPr>
        <w:t>通过连续时序、多POI和场景外测试，识别多阶段接入和小时级绿电协同具有价值或失效的参数区域。</w:t>
      </w:r>
    </w:p>
    <w:p>
      <w:pPr>
        <w:pStyle w:val="Heading2"/>
        <w:keepNext/>
        <w:pageBreakBefore w:val="0"/>
        <w:spacing w:before="120" w:after="100"/>
      </w:pPr>
      <w:r>
        <w:rPr>
          <w:rFonts w:ascii="Arial" w:hAnsi="Arial" w:eastAsia="黑体"/>
          <w:b/>
          <w:color w:val="2F5597"/>
          <w:sz w:val="26"/>
        </w:rPr>
        <w:t>6.3 论文成立的最低门槛</w:t>
      </w:r>
    </w:p>
    <w:tbl>
      <w:tblPr>
        <w:tblStyle w:val="TableGrid"/>
        <w:tblW w:type="auto" w:w="0"/>
        <w:jc w:val="center"/>
        <w:tblLook w:firstColumn="1" w:firstRow="1" w:lastColumn="0" w:lastRow="0" w:noHBand="0" w:noVBand="1" w:val="04A0"/>
      </w:tblPr>
      <w:tblGrid>
        <w:gridCol w:w="9866"/>
      </w:tblGrid>
      <w:tr>
        <w:tc>
          <w:tcPr>
            <w:tcW w:type="dxa" w:w="9866"/>
            <w:shd w:fill="FCE4D6"/>
            <w:tcMar>
              <w:top w:w="120" w:type="dxa"/>
              <w:start w:w="150" w:type="dxa"/>
              <w:bottom w:w="120" w:type="dxa"/>
              <w:end w:w="150" w:type="dxa"/>
            </w:tcMar>
          </w:tcPr>
          <w:p>
            <w:pPr>
              <w:spacing w:before="0" w:after="0" w:line="288" w:lineRule="auto"/>
            </w:pPr>
            <w:r>
              <w:rPr>
                <w:rFonts w:ascii="Times New Roman" w:hAnsi="Times New Roman" w:eastAsia="宋体"/>
                <w:b/>
                <w:color w:val="C55A11"/>
                <w:sz w:val="21"/>
              </w:rPr>
              <w:t>硬标准：</w:t>
            </w:r>
            <w:r>
              <w:rPr>
                <w:rFonts w:ascii="Times New Roman" w:hAnsi="Times New Roman" w:eastAsia="宋体"/>
                <w:sz w:val="21"/>
              </w:rPr>
              <w:t>以下三条至少成立两条：①VMA在可解释参数区域显著非零；②禁止重复承诺实质改变X或场景外违约风险；③小时级CFE相对年度匹配改变接入或扩建决策。</w:t>
            </w:r>
          </w:p>
        </w:tc>
      </w:tr>
    </w:tbl>
    <w:p>
      <w:pPr>
        <w:spacing w:after="0"/>
      </w:pPr>
    </w:p>
    <w:p>
      <w:pPr>
        <w:spacing w:before="0" w:after="80" w:line="307" w:lineRule="auto"/>
        <w:ind w:firstLine="420"/>
      </w:pPr>
      <w:r>
        <w:rPr>
          <w:rFonts w:ascii="Times New Roman" w:hAnsi="Times New Roman" w:eastAsia="宋体"/>
          <w:sz w:val="21"/>
        </w:rPr>
        <w:t>如果三条均不成立，不应继续增加算法或市场模块，而应把论文收缩为工程性更强的“达产不确定性下分阶段接入与小时级绿电约束评估”。静态方案占优的区域同样必须报告。</w:t>
      </w:r>
    </w:p>
    <w:p>
      <w:pPr>
        <w:pStyle w:val="Heading2"/>
        <w:keepNext/>
        <w:pageBreakBefore w:val="0"/>
        <w:spacing w:before="120" w:after="100"/>
      </w:pPr>
      <w:r>
        <w:rPr>
          <w:rFonts w:ascii="Arial" w:hAnsi="Arial" w:eastAsia="黑体"/>
          <w:b/>
          <w:color w:val="2F5597"/>
          <w:sz w:val="26"/>
        </w:rPr>
        <w:t>6.4 明确不能宣称</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首次提出灵活接入、firm/flexible容量或connect-and-manage。</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首次利用数据中心工作负载灵活性或CVaR。</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能够追踪新能源电子物理流向数据中心。</w:t>
      </w:r>
    </w:p>
    <w:p>
      <w:pPr>
        <w:spacing w:before="0" w:after="40" w:line="288" w:lineRule="auto"/>
        <w:ind w:left="425" w:hanging="227"/>
      </w:pPr>
      <w:r>
        <w:rPr>
          <w:rFonts w:ascii="Times New Roman" w:hAnsi="Times New Roman" w:eastAsia="宋体"/>
          <w:b/>
          <w:color w:val="2F5597"/>
          <w:sz w:val="21"/>
        </w:rPr>
        <w:t xml:space="preserve">• </w:t>
      </w:r>
      <w:r>
        <w:rPr>
          <w:rFonts w:ascii="Times New Roman" w:hAnsi="Times New Roman" w:eastAsia="宋体"/>
          <w:sz w:val="21"/>
        </w:rPr>
        <w:t>仅凭合成测试系统即可形成某国直接政策结论。</w:t>
      </w:r>
    </w:p>
    <w:p>
      <w:pPr>
        <w:pStyle w:val="Heading1"/>
        <w:keepNext/>
        <w:pageBreakBefore/>
        <w:spacing w:before="180" w:after="100"/>
      </w:pPr>
      <w:r>
        <w:rPr>
          <w:rFonts w:ascii="Arial" w:hAnsi="Arial" w:eastAsia="黑体"/>
          <w:b/>
          <w:color w:val="17365D"/>
          <w:sz w:val="32"/>
        </w:rPr>
        <w:t>七、数据、实施与止损计划</w:t>
      </w:r>
    </w:p>
    <w:p>
      <w:pPr>
        <w:pStyle w:val="Heading2"/>
        <w:keepNext/>
        <w:pageBreakBefore w:val="0"/>
        <w:spacing w:before="120" w:after="100"/>
      </w:pPr>
      <w:r>
        <w:rPr>
          <w:rFonts w:ascii="Arial" w:hAnsi="Arial" w:eastAsia="黑体"/>
          <w:b/>
          <w:color w:val="2F5597"/>
          <w:sz w:val="26"/>
        </w:rPr>
        <w:t>7.1 数据和参数</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数据</w:t>
            </w:r>
          </w:p>
        </w:tc>
        <w:tc>
          <w:tcPr>
            <w:tcW w:type="dxa" w:w="3969"/>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最低要求</w:t>
            </w:r>
          </w:p>
        </w:tc>
        <w:tc>
          <w:tcPr>
            <w:tcW w:type="dxa" w:w="362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无真实企业数据时</w:t>
            </w:r>
          </w:p>
        </w:tc>
      </w:tr>
      <w:tr>
        <w:trPr>
          <w:cantSplit/>
        </w:trPr>
        <w:tc>
          <w:tcPr>
            <w:tcW w:type="dxa" w:w="181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需求达产</w:t>
            </w:r>
          </w:p>
        </w:tc>
        <w:tc>
          <w:tcPr>
            <w:tcW w:type="dxa" w:w="39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模块、激活率、IT利用率、功率密度、PUE</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公开行业范围+透明合成生成器+分布外测试</w:t>
            </w:r>
          </w:p>
        </w:tc>
      </w:tr>
      <w:tr>
        <w:trPr>
          <w:cantSplit/>
        </w:trPr>
        <w:tc>
          <w:tcPr>
            <w:tcW w:type="dxa" w:w="181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工程延期</w:t>
            </w:r>
          </w:p>
        </w:tc>
        <w:tc>
          <w:tcPr>
            <w:tcW w:type="dxa" w:w="39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工程类型、名义工期、延期分布</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使用区间并做系统敏感性</w:t>
            </w:r>
          </w:p>
        </w:tc>
      </w:tr>
      <w:tr>
        <w:trPr>
          <w:cantSplit/>
        </w:trPr>
        <w:tc>
          <w:tcPr>
            <w:tcW w:type="dxa" w:w="181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电网与新能源</w:t>
            </w:r>
          </w:p>
        </w:tc>
        <w:tc>
          <w:tcPr>
            <w:tcW w:type="dxa" w:w="39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网络、机组、候选扩建、N-1、逐时风光出力</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使用RTS-GMLC并记录全部修改</w:t>
            </w:r>
          </w:p>
        </w:tc>
      </w:tr>
      <w:tr>
        <w:trPr>
          <w:cantSplit/>
        </w:trPr>
        <w:tc>
          <w:tcPr>
            <w:tcW w:type="dxa" w:w="181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业务灵活性</w:t>
            </w:r>
          </w:p>
        </w:tc>
        <w:tc>
          <w:tcPr>
            <w:tcW w:type="dxa" w:w="39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比例、持续时间、事件次数、恢复能力</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多档包络，不映射到特定企业</w:t>
            </w:r>
          </w:p>
        </w:tc>
      </w:tr>
      <w:tr>
        <w:trPr>
          <w:cantSplit/>
        </w:trPr>
        <w:tc>
          <w:tcPr>
            <w:tcW w:type="dxa" w:w="1814"/>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成本</w:t>
            </w:r>
          </w:p>
        </w:tc>
        <w:tc>
          <w:tcPr>
            <w:tcW w:type="dxa" w:w="396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年化投资、延期、削减和CFE缺口相对量级</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报告范围和物理指标，不依赖单点货币参数</w:t>
            </w:r>
          </w:p>
        </w:tc>
      </w:tr>
    </w:tbl>
    <w:p>
      <w:pPr>
        <w:spacing w:after="0"/>
      </w:pPr>
    </w:p>
    <w:p>
      <w:pPr>
        <w:pStyle w:val="Heading2"/>
        <w:keepNext/>
        <w:pageBreakBefore w:val="0"/>
        <w:spacing w:before="120" w:after="100"/>
      </w:pPr>
      <w:r>
        <w:rPr>
          <w:rFonts w:ascii="Arial" w:hAnsi="Arial" w:eastAsia="黑体"/>
          <w:b/>
          <w:color w:val="2F5597"/>
          <w:sz w:val="26"/>
        </w:rPr>
        <w:t>7.2 26周计划</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191"/>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周次</w:t>
            </w:r>
          </w:p>
        </w:tc>
        <w:tc>
          <w:tcPr>
            <w:tcW w:type="dxa" w:w="3572"/>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任务</w:t>
            </w:r>
          </w:p>
        </w:tc>
        <w:tc>
          <w:tcPr>
            <w:tcW w:type="dxa" w:w="4649"/>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硬交付物/止损条件</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1—2</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完成文献矩阵、符号表和信息时序图</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锁定三个RQ和一主一辅贡献</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3—5</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RTS-24确定性F/X、扩建和N-1模型</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服务平衡闭环，B0—B2可复现</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6—9</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场景树、非预见性和两阶段/多阶段模型</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计算VMA；若模型仍利用未来信息则停止扩展</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10—12</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连续代表周、事件次数和恢复债务</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MW-only与完整包络可比较</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13—15</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年度与小时级CFE、统一灵活性预算</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完成实验B和C的MVP</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16</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第一止损点</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若VMA和重复承诺均无辨识度，立即收缩主张</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17—20</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RTS-GMLC多POI、场景外与AC复核</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形成适用边界和稳健性结果</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21—23</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完成基线、消融和核心图表</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所有方法使用同一外样本</w:t>
            </w:r>
          </w:p>
        </w:tc>
      </w:tr>
      <w:tr>
        <w:trPr>
          <w:cantSplit/>
        </w:trPr>
        <w:tc>
          <w:tcPr>
            <w:tcW w:type="dxa" w:w="1191"/>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24—26</w:t>
            </w:r>
          </w:p>
        </w:tc>
        <w:tc>
          <w:tcPr>
            <w:tcW w:type="dxa" w:w="3572"/>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论文写作、结果审计和投稿准备</w:t>
            </w:r>
          </w:p>
        </w:tc>
        <w:tc>
          <w:tcPr>
            <w:tcW w:type="dxa" w:w="4649"/>
            <w:tcMar>
              <w:top w:w="90" w:type="dxa"/>
              <w:start w:w="110" w:type="dxa"/>
              <w:bottom w:w="90" w:type="dxa"/>
              <w:end w:w="110" w:type="dxa"/>
            </w:tcMar>
            <w:vAlign w:val="center"/>
          </w:tcPr>
          <w:p>
            <w:pPr>
              <w:spacing w:before="0" w:after="0" w:line="259" w:lineRule="auto"/>
            </w:pPr>
            <w:r>
              <w:rPr>
                <w:rFonts w:ascii="Times New Roman" w:hAnsi="Times New Roman" w:eastAsia="宋体"/>
                <w:sz w:val="17"/>
              </w:rPr>
              <w:t>论文初稿、复现包、局限性清单</w:t>
            </w:r>
          </w:p>
        </w:tc>
      </w:tr>
    </w:tbl>
    <w:p>
      <w:pPr>
        <w:spacing w:after="0"/>
      </w:pPr>
    </w:p>
    <w:p>
      <w:pPr>
        <w:pStyle w:val="Heading1"/>
        <w:keepNext/>
        <w:pageBreakBefore/>
        <w:spacing w:before="180" w:after="100"/>
      </w:pPr>
      <w:r>
        <w:rPr>
          <w:rFonts w:ascii="Arial" w:hAnsi="Arial" w:eastAsia="黑体"/>
          <w:b/>
          <w:color w:val="17365D"/>
          <w:sz w:val="32"/>
        </w:rPr>
        <w:t>八、建议论文结构与核心图表</w:t>
      </w:r>
    </w:p>
    <w:p>
      <w:pPr>
        <w:pStyle w:val="Heading2"/>
        <w:keepNext/>
        <w:pageBreakBefore w:val="0"/>
        <w:spacing w:before="120" w:after="100"/>
      </w:pPr>
      <w:r>
        <w:rPr>
          <w:rFonts w:ascii="Arial" w:hAnsi="Arial" w:eastAsia="黑体"/>
          <w:b/>
          <w:color w:val="2F5597"/>
          <w:sz w:val="26"/>
        </w:rPr>
        <w:t>8.1 论文结构</w:t>
      </w:r>
    </w:p>
    <w:p>
      <w:pPr>
        <w:spacing w:before="0" w:after="60" w:line="293" w:lineRule="auto"/>
        <w:ind w:left="397" w:hanging="397"/>
      </w:pPr>
      <w:r>
        <w:rPr>
          <w:rFonts w:ascii="Times New Roman" w:hAnsi="Times New Roman" w:eastAsia="宋体"/>
          <w:b/>
          <w:color w:val="2F5597"/>
          <w:sz w:val="21"/>
        </w:rPr>
        <w:t xml:space="preserve">1. </w:t>
      </w:r>
      <w:r>
        <w:rPr>
          <w:rFonts w:ascii="Times New Roman" w:hAnsi="Times New Roman" w:eastAsia="宋体"/>
          <w:sz w:val="21"/>
        </w:rPr>
        <w:t>Introduction：双重时钟错位、小时级绿电压力、研究缺口和三项贡献。</w:t>
      </w:r>
    </w:p>
    <w:p>
      <w:pPr>
        <w:spacing w:before="0" w:after="60" w:line="293" w:lineRule="auto"/>
        <w:ind w:left="397" w:hanging="397"/>
      </w:pPr>
      <w:r>
        <w:rPr>
          <w:rFonts w:ascii="Times New Roman" w:hAnsi="Times New Roman" w:eastAsia="宋体"/>
          <w:b/>
          <w:color w:val="2F5597"/>
          <w:sz w:val="21"/>
        </w:rPr>
        <w:t xml:space="preserve">2. </w:t>
      </w:r>
      <w:r>
        <w:rPr>
          <w:rFonts w:ascii="Times New Roman" w:hAnsi="Times New Roman" w:eastAsia="宋体"/>
          <w:sz w:val="21"/>
        </w:rPr>
        <w:t>Related Work：灵活接入、随机扩建、持续时间受限负荷灵活性和24/7 CFE。</w:t>
      </w:r>
    </w:p>
    <w:p>
      <w:pPr>
        <w:spacing w:before="0" w:after="60" w:line="293" w:lineRule="auto"/>
        <w:ind w:left="397" w:hanging="397"/>
      </w:pPr>
      <w:r>
        <w:rPr>
          <w:rFonts w:ascii="Times New Roman" w:hAnsi="Times New Roman" w:eastAsia="宋体"/>
          <w:b/>
          <w:color w:val="2F5597"/>
          <w:sz w:val="21"/>
        </w:rPr>
        <w:t xml:space="preserve">3. </w:t>
      </w:r>
      <w:r>
        <w:rPr>
          <w:rFonts w:ascii="Times New Roman" w:hAnsi="Times New Roman" w:eastAsia="宋体"/>
          <w:sz w:val="21"/>
        </w:rPr>
        <w:t>Problem Setting：主体、F/X、信息时序、可运营模块和绿电口径。</w:t>
      </w:r>
    </w:p>
    <w:p>
      <w:pPr>
        <w:spacing w:before="0" w:after="60" w:line="293" w:lineRule="auto"/>
        <w:ind w:left="397" w:hanging="397"/>
      </w:pPr>
      <w:r>
        <w:rPr>
          <w:rFonts w:ascii="Times New Roman" w:hAnsi="Times New Roman" w:eastAsia="宋体"/>
          <w:b/>
          <w:color w:val="2F5597"/>
          <w:sz w:val="21"/>
        </w:rPr>
        <w:t xml:space="preserve">4. </w:t>
      </w:r>
      <w:r>
        <w:rPr>
          <w:rFonts w:ascii="Times New Roman" w:hAnsi="Times New Roman" w:eastAsia="宋体"/>
          <w:sz w:val="21"/>
        </w:rPr>
        <w:t>Multistage Formulation：非预见性、扩建、N-1、统一灵活性预算和CFE约束。</w:t>
      </w:r>
    </w:p>
    <w:p>
      <w:pPr>
        <w:spacing w:before="0" w:after="60" w:line="293" w:lineRule="auto"/>
        <w:ind w:left="397" w:hanging="397"/>
      </w:pPr>
      <w:r>
        <w:rPr>
          <w:rFonts w:ascii="Times New Roman" w:hAnsi="Times New Roman" w:eastAsia="宋体"/>
          <w:b/>
          <w:color w:val="2F5597"/>
          <w:sz w:val="21"/>
        </w:rPr>
        <w:t xml:space="preserve">5. </w:t>
      </w:r>
      <w:r>
        <w:rPr>
          <w:rFonts w:ascii="Times New Roman" w:hAnsi="Times New Roman" w:eastAsia="宋体"/>
          <w:sz w:val="21"/>
        </w:rPr>
        <w:t>Evaluation：场景树、连续代表周、场景外测试和AC复核。</w:t>
      </w:r>
    </w:p>
    <w:p>
      <w:pPr>
        <w:spacing w:before="0" w:after="60" w:line="293" w:lineRule="auto"/>
        <w:ind w:left="397" w:hanging="397"/>
      </w:pPr>
      <w:r>
        <w:rPr>
          <w:rFonts w:ascii="Times New Roman" w:hAnsi="Times New Roman" w:eastAsia="宋体"/>
          <w:b/>
          <w:color w:val="2F5597"/>
          <w:sz w:val="21"/>
        </w:rPr>
        <w:t xml:space="preserve">6. </w:t>
      </w:r>
      <w:r>
        <w:rPr>
          <w:rFonts w:ascii="Times New Roman" w:hAnsi="Times New Roman" w:eastAsia="宋体"/>
          <w:sz w:val="21"/>
        </w:rPr>
        <w:t>Case Studies：实验A、B、C，多POI与失效边界。</w:t>
      </w:r>
    </w:p>
    <w:p>
      <w:pPr>
        <w:spacing w:before="0" w:after="60" w:line="293" w:lineRule="auto"/>
        <w:ind w:left="397" w:hanging="397"/>
      </w:pPr>
      <w:r>
        <w:rPr>
          <w:rFonts w:ascii="Times New Roman" w:hAnsi="Times New Roman" w:eastAsia="宋体"/>
          <w:b/>
          <w:color w:val="2F5597"/>
          <w:sz w:val="21"/>
        </w:rPr>
        <w:t xml:space="preserve">7. </w:t>
      </w:r>
      <w:r>
        <w:rPr>
          <w:rFonts w:ascii="Times New Roman" w:hAnsi="Times New Roman" w:eastAsia="宋体"/>
          <w:sz w:val="21"/>
        </w:rPr>
        <w:t>Discussion：合同映射、成本承担、数据限制和适用范围。</w:t>
      </w:r>
    </w:p>
    <w:p>
      <w:pPr>
        <w:spacing w:before="0" w:after="60" w:line="293" w:lineRule="auto"/>
        <w:ind w:left="397" w:hanging="397"/>
      </w:pPr>
      <w:r>
        <w:rPr>
          <w:rFonts w:ascii="Times New Roman" w:hAnsi="Times New Roman" w:eastAsia="宋体"/>
          <w:b/>
          <w:color w:val="2F5597"/>
          <w:sz w:val="21"/>
        </w:rPr>
        <w:t xml:space="preserve">8. </w:t>
      </w:r>
      <w:r>
        <w:rPr>
          <w:rFonts w:ascii="Times New Roman" w:hAnsi="Times New Roman" w:eastAsia="宋体"/>
          <w:sz w:val="21"/>
        </w:rPr>
        <w:t>Conclusion：逐一回答三个RQ，不扩大政策结论。</w:t>
      </w:r>
    </w:p>
    <w:p>
      <w:pPr>
        <w:pStyle w:val="Heading2"/>
        <w:keepNext/>
        <w:pageBreakBefore w:val="0"/>
        <w:spacing w:before="120" w:after="100"/>
      </w:pPr>
      <w:r>
        <w:rPr>
          <w:rFonts w:ascii="Arial" w:hAnsi="Arial" w:eastAsia="黑体"/>
          <w:b/>
          <w:color w:val="2F5597"/>
          <w:sz w:val="26"/>
        </w:rPr>
        <w:t>8.2 八张核心图</w:t>
      </w:r>
    </w:p>
    <w:p>
      <w:pPr>
        <w:spacing w:before="0" w:after="60" w:line="293" w:lineRule="auto"/>
        <w:ind w:left="397" w:hanging="397"/>
      </w:pPr>
      <w:r>
        <w:rPr>
          <w:rFonts w:ascii="Times New Roman" w:hAnsi="Times New Roman" w:eastAsia="宋体"/>
          <w:b/>
          <w:color w:val="2F5597"/>
          <w:sz w:val="21"/>
        </w:rPr>
        <w:t xml:space="preserve">1. </w:t>
      </w:r>
      <w:r>
        <w:rPr>
          <w:rFonts w:ascii="Times New Roman" w:hAnsi="Times New Roman" w:eastAsia="宋体"/>
          <w:sz w:val="21"/>
        </w:rPr>
        <w:t>双重时钟信息揭示和场景树。</w:t>
      </w:r>
    </w:p>
    <w:p>
      <w:pPr>
        <w:spacing w:before="0" w:after="60" w:line="293" w:lineRule="auto"/>
        <w:ind w:left="397" w:hanging="397"/>
      </w:pPr>
      <w:r>
        <w:rPr>
          <w:rFonts w:ascii="Times New Roman" w:hAnsi="Times New Roman" w:eastAsia="宋体"/>
          <w:b/>
          <w:color w:val="2F5597"/>
          <w:sz w:val="21"/>
        </w:rPr>
        <w:t xml:space="preserve">2. </w:t>
      </w:r>
      <w:r>
        <w:rPr>
          <w:rFonts w:ascii="Times New Roman" w:hAnsi="Times New Roman" w:eastAsia="宋体"/>
          <w:sz w:val="21"/>
        </w:rPr>
        <w:t>静态、两阶段和多阶段F/X容量轨迹。</w:t>
      </w:r>
    </w:p>
    <w:p>
      <w:pPr>
        <w:spacing w:before="0" w:after="60" w:line="293" w:lineRule="auto"/>
        <w:ind w:left="397" w:hanging="397"/>
      </w:pPr>
      <w:r>
        <w:rPr>
          <w:rFonts w:ascii="Times New Roman" w:hAnsi="Times New Roman" w:eastAsia="宋体"/>
          <w:b/>
          <w:color w:val="2F5597"/>
          <w:sz w:val="21"/>
        </w:rPr>
        <w:t xml:space="preserve">3. </w:t>
      </w:r>
      <w:r>
        <w:rPr>
          <w:rFonts w:ascii="Times New Roman" w:hAnsi="Times New Roman" w:eastAsia="宋体"/>
          <w:sz w:val="21"/>
        </w:rPr>
        <w:t>T20/T50/T100与服务风险对比。</w:t>
      </w:r>
    </w:p>
    <w:p>
      <w:pPr>
        <w:spacing w:before="0" w:after="60" w:line="293" w:lineRule="auto"/>
        <w:ind w:left="397" w:hanging="397"/>
      </w:pPr>
      <w:r>
        <w:rPr>
          <w:rFonts w:ascii="Times New Roman" w:hAnsi="Times New Roman" w:eastAsia="宋体"/>
          <w:b/>
          <w:color w:val="2F5597"/>
          <w:sz w:val="21"/>
        </w:rPr>
        <w:t xml:space="preserve">4. </w:t>
      </w:r>
      <w:r>
        <w:rPr>
          <w:rFonts w:ascii="Times New Roman" w:hAnsi="Times New Roman" w:eastAsia="宋体"/>
          <w:sz w:val="21"/>
        </w:rPr>
        <w:t>VMA随网架裕度、工期和不确定性变化的热力图。</w:t>
      </w:r>
    </w:p>
    <w:p>
      <w:pPr>
        <w:spacing w:before="0" w:after="60" w:line="293" w:lineRule="auto"/>
        <w:ind w:left="397" w:hanging="397"/>
      </w:pPr>
      <w:r>
        <w:rPr>
          <w:rFonts w:ascii="Times New Roman" w:hAnsi="Times New Roman" w:eastAsia="宋体"/>
          <w:b/>
          <w:color w:val="2F5597"/>
          <w:sz w:val="21"/>
        </w:rPr>
        <w:t xml:space="preserve">5. </w:t>
      </w:r>
      <w:r>
        <w:rPr>
          <w:rFonts w:ascii="Times New Roman" w:hAnsi="Times New Roman" w:eastAsia="宋体"/>
          <w:sz w:val="21"/>
        </w:rPr>
        <w:t>重复承诺与统一预算模型的X和场景外违约率。</w:t>
      </w:r>
    </w:p>
    <w:p>
      <w:pPr>
        <w:spacing w:before="0" w:after="60" w:line="293" w:lineRule="auto"/>
        <w:ind w:left="397" w:hanging="397"/>
      </w:pPr>
      <w:r>
        <w:rPr>
          <w:rFonts w:ascii="Times New Roman" w:hAnsi="Times New Roman" w:eastAsia="宋体"/>
          <w:b/>
          <w:color w:val="2F5597"/>
          <w:sz w:val="21"/>
        </w:rPr>
        <w:t xml:space="preserve">6. </w:t>
      </w:r>
      <w:r>
        <w:rPr>
          <w:rFonts w:ascii="Times New Roman" w:hAnsi="Times New Roman" w:eastAsia="宋体"/>
          <w:sz w:val="21"/>
        </w:rPr>
        <w:t>MW-only与完整包络的持续时间和恢复债务差异。</w:t>
      </w:r>
    </w:p>
    <w:p>
      <w:pPr>
        <w:spacing w:before="0" w:after="60" w:line="293" w:lineRule="auto"/>
        <w:ind w:left="397" w:hanging="397"/>
      </w:pPr>
      <w:r>
        <w:rPr>
          <w:rFonts w:ascii="Times New Roman" w:hAnsi="Times New Roman" w:eastAsia="宋体"/>
          <w:b/>
          <w:color w:val="2F5597"/>
          <w:sz w:val="21"/>
        </w:rPr>
        <w:t xml:space="preserve">7. </w:t>
      </w:r>
      <w:r>
        <w:rPr>
          <w:rFonts w:ascii="Times New Roman" w:hAnsi="Times New Roman" w:eastAsia="宋体"/>
          <w:sz w:val="21"/>
        </w:rPr>
        <w:t>年度匹配与小时级CFE的扩建和容量差异。</w:t>
      </w:r>
    </w:p>
    <w:p>
      <w:pPr>
        <w:spacing w:before="0" w:after="60" w:line="293" w:lineRule="auto"/>
        <w:ind w:left="397" w:hanging="397"/>
      </w:pPr>
      <w:r>
        <w:rPr>
          <w:rFonts w:ascii="Times New Roman" w:hAnsi="Times New Roman" w:eastAsia="宋体"/>
          <w:b/>
          <w:color w:val="2F5597"/>
          <w:sz w:val="21"/>
        </w:rPr>
        <w:t xml:space="preserve">8. </w:t>
      </w:r>
      <w:r>
        <w:rPr>
          <w:rFonts w:ascii="Times New Roman" w:hAnsi="Times New Roman" w:eastAsia="宋体"/>
          <w:sz w:val="21"/>
        </w:rPr>
        <w:t>联合压力场景下的网络削减、绿电移峰和恢复过程。</w:t>
      </w:r>
    </w:p>
    <w:p>
      <w:pPr>
        <w:pStyle w:val="Heading1"/>
        <w:keepNext/>
        <w:pageBreakBefore/>
        <w:spacing w:before="180" w:after="100"/>
      </w:pPr>
      <w:r>
        <w:rPr>
          <w:rFonts w:ascii="Arial" w:hAnsi="Arial" w:eastAsia="黑体"/>
          <w:b/>
          <w:color w:val="17365D"/>
          <w:sz w:val="32"/>
        </w:rPr>
        <w:t>九、编码前检查清单</w:t>
      </w:r>
    </w:p>
    <w:p>
      <w:pPr>
        <w:spacing w:before="0" w:after="60" w:line="293" w:lineRule="auto"/>
        <w:ind w:left="397" w:hanging="397"/>
      </w:pPr>
      <w:r>
        <w:rPr>
          <w:rFonts w:ascii="Times New Roman" w:hAnsi="Times New Roman" w:eastAsia="宋体"/>
          <w:b/>
          <w:color w:val="2F5597"/>
          <w:sz w:val="21"/>
        </w:rPr>
        <w:t xml:space="preserve">1. </w:t>
      </w:r>
      <w:r>
        <w:rPr>
          <w:rFonts w:ascii="Times New Roman" w:hAnsi="Times New Roman" w:eastAsia="宋体"/>
          <w:sz w:val="21"/>
        </w:rPr>
        <w:t>场景树中哪些信息在每个季度可见，哪些决策必须满足非预见性？</w:t>
      </w:r>
    </w:p>
    <w:p>
      <w:pPr>
        <w:spacing w:before="0" w:after="60" w:line="293" w:lineRule="auto"/>
        <w:ind w:left="397" w:hanging="397"/>
      </w:pPr>
      <w:r>
        <w:rPr>
          <w:rFonts w:ascii="Times New Roman" w:hAnsi="Times New Roman" w:eastAsia="宋体"/>
          <w:b/>
          <w:color w:val="2F5597"/>
          <w:sz w:val="21"/>
        </w:rPr>
        <w:t xml:space="preserve">2. </w:t>
      </w:r>
      <w:r>
        <w:rPr>
          <w:rFonts w:ascii="Times New Roman" w:hAnsi="Times New Roman" w:eastAsia="宋体"/>
          <w:sz w:val="21"/>
        </w:rPr>
        <w:t>B_min、T20、T50和T100分别如何定义？</w:t>
      </w:r>
    </w:p>
    <w:p>
      <w:pPr>
        <w:spacing w:before="0" w:after="60" w:line="293" w:lineRule="auto"/>
        <w:ind w:left="397" w:hanging="397"/>
      </w:pPr>
      <w:r>
        <w:rPr>
          <w:rFonts w:ascii="Times New Roman" w:hAnsi="Times New Roman" w:eastAsia="宋体"/>
          <w:b/>
          <w:color w:val="2F5597"/>
          <w:sz w:val="21"/>
        </w:rPr>
        <w:t xml:space="preserve">3. </w:t>
      </w:r>
      <w:r>
        <w:rPr>
          <w:rFonts w:ascii="Times New Roman" w:hAnsi="Times New Roman" w:eastAsia="宋体"/>
          <w:sz w:val="21"/>
        </w:rPr>
        <w:t>F保障哪些N-1情形，X是事故前还是事故后削减？</w:t>
      </w:r>
    </w:p>
    <w:p>
      <w:pPr>
        <w:spacing w:before="0" w:after="60" w:line="293" w:lineRule="auto"/>
        <w:ind w:left="397" w:hanging="397"/>
      </w:pPr>
      <w:r>
        <w:rPr>
          <w:rFonts w:ascii="Times New Roman" w:hAnsi="Times New Roman" w:eastAsia="宋体"/>
          <w:b/>
          <w:color w:val="2F5597"/>
          <w:sz w:val="21"/>
        </w:rPr>
        <w:t xml:space="preserve">4. </w:t>
      </w:r>
      <w:r>
        <w:rPr>
          <w:rFonts w:ascii="Times New Roman" w:hAnsi="Times New Roman" w:eastAsia="宋体"/>
          <w:sz w:val="21"/>
        </w:rPr>
        <w:t>c_grid与c_green是否可能重复使用同一柔性负荷？</w:t>
      </w:r>
    </w:p>
    <w:p>
      <w:pPr>
        <w:spacing w:before="0" w:after="60" w:line="293" w:lineRule="auto"/>
        <w:ind w:left="397" w:hanging="397"/>
      </w:pPr>
      <w:r>
        <w:rPr>
          <w:rFonts w:ascii="Times New Roman" w:hAnsi="Times New Roman" w:eastAsia="宋体"/>
          <w:b/>
          <w:color w:val="2F5597"/>
          <w:sz w:val="21"/>
        </w:rPr>
        <w:t xml:space="preserve">5. </w:t>
      </w:r>
      <w:r>
        <w:rPr>
          <w:rFonts w:ascii="Times New Roman" w:hAnsi="Times New Roman" w:eastAsia="宋体"/>
          <w:sz w:val="21"/>
        </w:rPr>
        <w:t>恢复债务在连续代表周内如何闭环，非恢复业务如何单独计损失？</w:t>
      </w:r>
    </w:p>
    <w:p>
      <w:pPr>
        <w:spacing w:before="0" w:after="60" w:line="293" w:lineRule="auto"/>
        <w:ind w:left="397" w:hanging="397"/>
      </w:pPr>
      <w:r>
        <w:rPr>
          <w:rFonts w:ascii="Times New Roman" w:hAnsi="Times New Roman" w:eastAsia="宋体"/>
          <w:b/>
          <w:color w:val="2F5597"/>
          <w:sz w:val="21"/>
        </w:rPr>
        <w:t xml:space="preserve">6. </w:t>
      </w:r>
      <w:r>
        <w:rPr>
          <w:rFonts w:ascii="Times New Roman" w:hAnsi="Times New Roman" w:eastAsia="宋体"/>
          <w:sz w:val="21"/>
        </w:rPr>
        <w:t>需求公式是否区分激活率、IT利用率、额定功率密度和PUE？</w:t>
      </w:r>
    </w:p>
    <w:p>
      <w:pPr>
        <w:spacing w:before="0" w:after="60" w:line="293" w:lineRule="auto"/>
        <w:ind w:left="397" w:hanging="397"/>
      </w:pPr>
      <w:r>
        <w:rPr>
          <w:rFonts w:ascii="Times New Roman" w:hAnsi="Times New Roman" w:eastAsia="宋体"/>
          <w:b/>
          <w:color w:val="2F5597"/>
          <w:sz w:val="21"/>
        </w:rPr>
        <w:t xml:space="preserve">7. </w:t>
      </w:r>
      <w:r>
        <w:rPr>
          <w:rFonts w:ascii="Times New Roman" w:hAnsi="Times New Roman" w:eastAsia="宋体"/>
          <w:sz w:val="21"/>
        </w:rPr>
        <w:t>年度匹配与小时级CFE使用的清洁电量归属规则是什么？</w:t>
      </w:r>
    </w:p>
    <w:p>
      <w:pPr>
        <w:spacing w:before="0" w:after="60" w:line="293" w:lineRule="auto"/>
        <w:ind w:left="397" w:hanging="397"/>
      </w:pPr>
      <w:r>
        <w:rPr>
          <w:rFonts w:ascii="Times New Roman" w:hAnsi="Times New Roman" w:eastAsia="宋体"/>
          <w:b/>
          <w:color w:val="2F5597"/>
          <w:sz w:val="21"/>
        </w:rPr>
        <w:t xml:space="preserve">8. </w:t>
      </w:r>
      <w:r>
        <w:rPr>
          <w:rFonts w:ascii="Times New Roman" w:hAnsi="Times New Roman" w:eastAsia="宋体"/>
          <w:sz w:val="21"/>
        </w:rPr>
        <w:t>CVaR是否只作用于服务损失，而不放松网络安全？</w:t>
      </w:r>
    </w:p>
    <w:p>
      <w:pPr>
        <w:spacing w:before="0" w:after="60" w:line="293" w:lineRule="auto"/>
        <w:ind w:left="397" w:hanging="397"/>
      </w:pPr>
      <w:r>
        <w:rPr>
          <w:rFonts w:ascii="Times New Roman" w:hAnsi="Times New Roman" w:eastAsia="宋体"/>
          <w:b/>
          <w:color w:val="2F5597"/>
          <w:sz w:val="21"/>
        </w:rPr>
        <w:t xml:space="preserve">9. </w:t>
      </w:r>
      <w:r>
        <w:rPr>
          <w:rFonts w:ascii="Times New Roman" w:hAnsi="Times New Roman" w:eastAsia="宋体"/>
          <w:sz w:val="21"/>
        </w:rPr>
        <w:t>训练场景和场景外测试是否严格分离？</w:t>
      </w:r>
    </w:p>
    <w:p>
      <w:pPr>
        <w:spacing w:before="0" w:after="60" w:line="293" w:lineRule="auto"/>
        <w:ind w:left="397" w:hanging="397"/>
      </w:pPr>
      <w:r>
        <w:rPr>
          <w:rFonts w:ascii="Times New Roman" w:hAnsi="Times New Roman" w:eastAsia="宋体"/>
          <w:b/>
          <w:color w:val="2F5597"/>
          <w:sz w:val="21"/>
        </w:rPr>
        <w:t xml:space="preserve">10. </w:t>
      </w:r>
      <w:r>
        <w:rPr>
          <w:rFonts w:ascii="Times New Roman" w:hAnsi="Times New Roman" w:eastAsia="宋体"/>
          <w:sz w:val="21"/>
        </w:rPr>
        <w:t>若结果显示静态方案占优，是否仍会如实报告？</w:t>
      </w:r>
    </w:p>
    <w:p>
      <w:pPr>
        <w:pStyle w:val="Heading1"/>
        <w:keepNext/>
        <w:pageBreakBefore/>
        <w:spacing w:before="180" w:after="100"/>
      </w:pPr>
      <w:r>
        <w:rPr>
          <w:rFonts w:ascii="Arial" w:hAnsi="Arial" w:eastAsia="黑体"/>
          <w:b/>
          <w:color w:val="17365D"/>
          <w:sz w:val="32"/>
        </w:rPr>
        <w:t>参考文献与重点材料（投稿前逐条核验）</w:t>
      </w:r>
    </w:p>
    <w:p>
      <w:pPr>
        <w:spacing w:before="0" w:after="60" w:line="293" w:lineRule="auto"/>
        <w:ind w:left="397" w:hanging="397"/>
      </w:pPr>
      <w:r>
        <w:rPr>
          <w:rFonts w:ascii="Times New Roman" w:hAnsi="Times New Roman" w:eastAsia="宋体"/>
          <w:b/>
          <w:color w:val="2F5597"/>
          <w:sz w:val="21"/>
        </w:rPr>
        <w:t xml:space="preserve">1. </w:t>
      </w:r>
      <w:r>
        <w:rPr>
          <w:rFonts w:ascii="Times New Roman" w:hAnsi="Times New Roman" w:eastAsia="宋体"/>
          <w:sz w:val="21"/>
        </w:rPr>
        <w:t>International Energy Agency. Energy and AI. 2025.</w:t>
      </w:r>
    </w:p>
    <w:p>
      <w:pPr>
        <w:spacing w:before="0" w:after="60" w:line="293" w:lineRule="auto"/>
        <w:ind w:left="397" w:hanging="397"/>
      </w:pPr>
      <w:r>
        <w:rPr>
          <w:rFonts w:ascii="Times New Roman" w:hAnsi="Times New Roman" w:eastAsia="宋体"/>
          <w:b/>
          <w:color w:val="2F5597"/>
          <w:sz w:val="21"/>
        </w:rPr>
        <w:t xml:space="preserve">2. </w:t>
      </w:r>
      <w:r>
        <w:rPr>
          <w:rFonts w:ascii="Times New Roman" w:hAnsi="Times New Roman" w:eastAsia="宋体"/>
          <w:sz w:val="21"/>
        </w:rPr>
        <w:t>U.S. Department of Energy. 24/7 Carbon-Free Electricity implementation guidance and related materials.</w:t>
      </w:r>
    </w:p>
    <w:p>
      <w:pPr>
        <w:spacing w:before="0" w:after="60" w:line="293" w:lineRule="auto"/>
        <w:ind w:left="397" w:hanging="397"/>
      </w:pPr>
      <w:r>
        <w:rPr>
          <w:rFonts w:ascii="Times New Roman" w:hAnsi="Times New Roman" w:eastAsia="宋体"/>
          <w:b/>
          <w:color w:val="2F5597"/>
          <w:sz w:val="21"/>
        </w:rPr>
        <w:t xml:space="preserve">3. </w:t>
      </w:r>
      <w:r>
        <w:rPr>
          <w:rFonts w:ascii="Times New Roman" w:hAnsi="Times New Roman" w:eastAsia="宋体"/>
          <w:sz w:val="21"/>
        </w:rPr>
        <w:t>Federal Energy Regulatory Commission. Large-load interconnection, variable load service and non-firm transmission service materials. 2026.</w:t>
      </w:r>
    </w:p>
    <w:p>
      <w:pPr>
        <w:spacing w:before="0" w:after="60" w:line="293" w:lineRule="auto"/>
        <w:ind w:left="397" w:hanging="397"/>
      </w:pPr>
      <w:r>
        <w:rPr>
          <w:rFonts w:ascii="Times New Roman" w:hAnsi="Times New Roman" w:eastAsia="宋体"/>
          <w:b/>
          <w:color w:val="2F5597"/>
          <w:sz w:val="21"/>
        </w:rPr>
        <w:t xml:space="preserve">4. </w:t>
      </w:r>
      <w:r>
        <w:rPr>
          <w:rFonts w:ascii="Times New Roman" w:hAnsi="Times New Roman" w:eastAsia="宋体"/>
          <w:sz w:val="21"/>
        </w:rPr>
        <w:t>North American Electric Reliability Corporation. Characteristics and Risks of Emerging Large Loads. 2025.</w:t>
      </w:r>
    </w:p>
    <w:p>
      <w:pPr>
        <w:spacing w:before="0" w:after="60" w:line="293" w:lineRule="auto"/>
        <w:ind w:left="397" w:hanging="397"/>
      </w:pPr>
      <w:r>
        <w:rPr>
          <w:rFonts w:ascii="Times New Roman" w:hAnsi="Times New Roman" w:eastAsia="宋体"/>
          <w:b/>
          <w:color w:val="2F5597"/>
          <w:sz w:val="21"/>
        </w:rPr>
        <w:t xml:space="preserve">5. </w:t>
      </w:r>
      <w:r>
        <w:rPr>
          <w:rFonts w:ascii="Times New Roman" w:hAnsi="Times New Roman" w:eastAsia="宋体"/>
          <w:sz w:val="21"/>
        </w:rPr>
        <w:t>D. Kim, L. Dong, and L. Xie. Flexibility-Aware Framework for Efficient Planner-Initiated Siting of Data Center. Nature Communications, 2026. DOI: 10.1038/s41467-026-72324-9.</w:t>
      </w:r>
    </w:p>
    <w:p>
      <w:pPr>
        <w:spacing w:before="0" w:after="60" w:line="293" w:lineRule="auto"/>
        <w:ind w:left="397" w:hanging="397"/>
      </w:pPr>
      <w:r>
        <w:rPr>
          <w:rFonts w:ascii="Times New Roman" w:hAnsi="Times New Roman" w:eastAsia="宋体"/>
          <w:b/>
          <w:color w:val="2F5597"/>
          <w:sz w:val="21"/>
        </w:rPr>
        <w:t xml:space="preserve">6. </w:t>
      </w:r>
      <w:r>
        <w:rPr>
          <w:rFonts w:ascii="Times New Roman" w:hAnsi="Times New Roman" w:eastAsia="宋体"/>
          <w:sz w:val="21"/>
        </w:rPr>
        <w:t>S. Li, B. Fang, and C. Chen. Risk-Aware Allocation of Transmission Capacity for AI Data Centers. arXiv:2604.08854, 2026.</w:t>
      </w:r>
    </w:p>
    <w:p>
      <w:pPr>
        <w:spacing w:before="0" w:after="60" w:line="293" w:lineRule="auto"/>
        <w:ind w:left="397" w:hanging="397"/>
      </w:pPr>
      <w:r>
        <w:rPr>
          <w:rFonts w:ascii="Times New Roman" w:hAnsi="Times New Roman" w:eastAsia="宋体"/>
          <w:b/>
          <w:color w:val="2F5597"/>
          <w:sz w:val="21"/>
        </w:rPr>
        <w:t xml:space="preserve">7. </w:t>
      </w:r>
      <w:r>
        <w:rPr>
          <w:rFonts w:ascii="Times New Roman" w:hAnsi="Times New Roman" w:eastAsia="宋体"/>
          <w:sz w:val="21"/>
        </w:rPr>
        <w:t>Power-Flexible AI Data Centers: A Comprehensive Survey of Grid Integration, Modeling, and Control. arXiv:2606.25098, 2026.</w:t>
      </w:r>
    </w:p>
    <w:p>
      <w:pPr>
        <w:spacing w:before="0" w:after="60" w:line="293" w:lineRule="auto"/>
        <w:ind w:left="397" w:hanging="397"/>
      </w:pPr>
      <w:r>
        <w:rPr>
          <w:rFonts w:ascii="Times New Roman" w:hAnsi="Times New Roman" w:eastAsia="宋体"/>
          <w:b/>
          <w:color w:val="2F5597"/>
          <w:sz w:val="21"/>
        </w:rPr>
        <w:t xml:space="preserve">8. </w:t>
      </w:r>
      <w:r>
        <w:rPr>
          <w:rFonts w:ascii="Times New Roman" w:hAnsi="Times New Roman" w:eastAsia="宋体"/>
          <w:sz w:val="21"/>
        </w:rPr>
        <w:t>Data Center Spatio-Temporal Renewable Energy Balancing Under Transmission Constraints. arXiv:2605.18517, 2026.</w:t>
      </w:r>
    </w:p>
    <w:p>
      <w:pPr>
        <w:spacing w:before="0" w:after="60" w:line="293" w:lineRule="auto"/>
        <w:ind w:left="397" w:hanging="397"/>
      </w:pPr>
      <w:r>
        <w:rPr>
          <w:rFonts w:ascii="Times New Roman" w:hAnsi="Times New Roman" w:eastAsia="宋体"/>
          <w:b/>
          <w:color w:val="2F5597"/>
          <w:sz w:val="21"/>
        </w:rPr>
        <w:t xml:space="preserve">9. </w:t>
      </w:r>
      <w:r>
        <w:rPr>
          <w:rFonts w:ascii="Times New Roman" w:hAnsi="Times New Roman" w:eastAsia="宋体"/>
          <w:sz w:val="21"/>
        </w:rPr>
        <w:t>国家发展改革委等：《数据中心绿色低碳发展专项行动计划》，发改环资〔2024〕970号，2024年。</w:t>
      </w:r>
    </w:p>
    <w:p>
      <w:pPr>
        <w:spacing w:before="0" w:after="60" w:line="293" w:lineRule="auto"/>
        <w:ind w:left="397" w:hanging="397"/>
      </w:pPr>
      <w:r>
        <w:rPr>
          <w:rFonts w:ascii="Times New Roman" w:hAnsi="Times New Roman" w:eastAsia="宋体"/>
          <w:b/>
          <w:color w:val="2F5597"/>
          <w:sz w:val="21"/>
        </w:rPr>
        <w:t xml:space="preserve">10. </w:t>
      </w:r>
      <w:r>
        <w:rPr>
          <w:rFonts w:ascii="Times New Roman" w:hAnsi="Times New Roman" w:eastAsia="宋体"/>
          <w:sz w:val="21"/>
        </w:rPr>
        <w:t>补充文献群：多阶段随机输电扩建、construction lead-time uncertainty、real options、非保供传输服务、状态链接代表时段、小时级清洁电力匹配。</w:t>
      </w:r>
    </w:p>
    <w:p>
      <w:pPr>
        <w:pStyle w:val="Heading1"/>
        <w:keepNext/>
        <w:pageBreakBefore/>
        <w:spacing w:before="180" w:after="100"/>
      </w:pPr>
      <w:r>
        <w:rPr>
          <w:rFonts w:ascii="Arial" w:hAnsi="Arial" w:eastAsia="黑体"/>
          <w:b/>
          <w:color w:val="17365D"/>
          <w:sz w:val="32"/>
        </w:rPr>
        <w:t>附录：本轮聚焦修改记录</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28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上一版</w:t>
            </w:r>
          </w:p>
        </w:tc>
        <w:tc>
          <w:tcPr>
            <w:tcW w:type="dxa" w:w="3628"/>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最新版</w:t>
            </w:r>
          </w:p>
        </w:tc>
        <w:tc>
          <w:tcPr>
            <w:tcW w:type="dxa" w:w="2494"/>
            <w:shd w:fill="17365D"/>
            <w:tcMar>
              <w:top w:w="90" w:type="dxa"/>
              <w:start w:w="110" w:type="dxa"/>
              <w:bottom w:w="90" w:type="dxa"/>
              <w:end w:w="110" w:type="dxa"/>
            </w:tcMar>
            <w:vAlign w:val="center"/>
          </w:tcPr>
          <w:p>
            <w:pPr>
              <w:spacing w:before="0" w:after="0" w:line="252" w:lineRule="auto"/>
              <w:jc w:val="center"/>
            </w:pPr>
            <w:r>
              <w:rPr>
                <w:rFonts w:ascii="Arial" w:hAnsi="Arial" w:eastAsia="黑体"/>
                <w:b/>
                <w:color w:val="FFFFFF"/>
                <w:sz w:val="17"/>
              </w:rPr>
              <w:t>目的</w:t>
            </w:r>
          </w:p>
        </w:tc>
      </w:tr>
      <w:tr>
        <w:trPr>
          <w:cantSplit/>
        </w:trPr>
        <w:tc>
          <w:tcPr>
            <w:tcW w:type="dxa" w:w="328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题目包含里程碑、灵活接入、绿电、扩建、自适应等多个词</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题目压缩为分阶段接入与小时级绿电协同</w:t>
            </w:r>
          </w:p>
        </w:tc>
        <w:tc>
          <w:tcPr>
            <w:tcW w:type="dxa" w:w="249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提高识别度</w:t>
            </w:r>
          </w:p>
        </w:tc>
      </w:tr>
      <w:tr>
        <w:trPr>
          <w:cantSplit/>
        </w:trPr>
        <w:tc>
          <w:tcPr>
            <w:tcW w:type="dxa" w:w="328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五个RQ和五个假设</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三个RQ和三个假设</w:t>
            </w:r>
          </w:p>
        </w:tc>
        <w:tc>
          <w:tcPr>
            <w:tcW w:type="dxa" w:w="249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围绕适应性、重复承诺、绿电时间粒度</w:t>
            </w:r>
          </w:p>
        </w:tc>
      </w:tr>
      <w:tr>
        <w:trPr>
          <w:cantSplit/>
        </w:trPr>
        <w:tc>
          <w:tcPr>
            <w:tcW w:type="dxa" w:w="328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多项创新并列</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一主一辅，其他为支撑工具</w:t>
            </w:r>
          </w:p>
        </w:tc>
        <w:tc>
          <w:tcPr>
            <w:tcW w:type="dxa" w:w="249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避免模块堆叠</w:t>
            </w:r>
          </w:p>
        </w:tc>
      </w:tr>
      <w:tr>
        <w:trPr>
          <w:cantSplit/>
        </w:trPr>
        <w:tc>
          <w:tcPr>
            <w:tcW w:type="dxa" w:w="328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储能CFE属性和多层绿电扩展</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MVP仅比较年度与小时级CFE</w:t>
            </w:r>
          </w:p>
        </w:tc>
        <w:tc>
          <w:tcPr>
            <w:tcW w:type="dxa" w:w="249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控制范围</w:t>
            </w:r>
          </w:p>
        </w:tc>
      </w:tr>
      <w:tr>
        <w:trPr>
          <w:cantSplit/>
        </w:trPr>
        <w:tc>
          <w:tcPr>
            <w:tcW w:type="dxa" w:w="328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多组分散基线和消融</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实验A、B、C三条证据链</w:t>
            </w:r>
          </w:p>
        </w:tc>
        <w:tc>
          <w:tcPr>
            <w:tcW w:type="dxa" w:w="249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使结果直接对应RQ</w:t>
            </w:r>
          </w:p>
        </w:tc>
      </w:tr>
      <w:tr>
        <w:trPr>
          <w:cantSplit/>
        </w:trPr>
        <w:tc>
          <w:tcPr>
            <w:tcW w:type="dxa" w:w="3288"/>
            <w:tcMar>
              <w:top w:w="90" w:type="dxa"/>
              <w:start w:w="110" w:type="dxa"/>
              <w:bottom w:w="90" w:type="dxa"/>
              <w:end w:w="110" w:type="dxa"/>
            </w:tcMar>
            <w:vAlign w:val="center"/>
          </w:tcPr>
          <w:p>
            <w:pPr>
              <w:spacing w:before="0" w:after="0" w:line="259" w:lineRule="auto"/>
              <w:jc w:val="center"/>
            </w:pPr>
            <w:r>
              <w:rPr>
                <w:rFonts w:ascii="Times New Roman" w:hAnsi="Times New Roman" w:eastAsia="宋体"/>
                <w:sz w:val="17"/>
              </w:rPr>
              <w:t>研究计划强调功能完整</w:t>
            </w:r>
          </w:p>
        </w:tc>
        <w:tc>
          <w:tcPr>
            <w:tcW w:type="dxa" w:w="3628"/>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成败判据强调可证伪和无优势区域</w:t>
            </w:r>
          </w:p>
        </w:tc>
        <w:tc>
          <w:tcPr>
            <w:tcW w:type="dxa" w:w="2494"/>
            <w:tcMar>
              <w:top w:w="90" w:type="dxa"/>
              <w:start w:w="110" w:type="dxa"/>
              <w:bottom w:w="90" w:type="dxa"/>
              <w:end w:w="110" w:type="dxa"/>
            </w:tcMar>
            <w:vAlign w:val="center"/>
          </w:tcPr>
          <w:p>
            <w:pPr>
              <w:spacing w:before="0" w:after="0" w:line="259" w:lineRule="auto"/>
            </w:pPr>
            <w:r>
              <w:rPr>
                <w:rFonts w:ascii="Times New Roman" w:hAnsi="Times New Roman" w:eastAsia="宋体"/>
                <w:sz w:val="17"/>
              </w:rPr>
              <w:t>提高科研性</w:t>
            </w:r>
          </w:p>
        </w:tc>
      </w:tr>
    </w:tbl>
    <w:p>
      <w:pPr>
        <w:spacing w:after="0"/>
      </w:pPr>
    </w:p>
    <w:sectPr w:rsidR="00FC693F" w:rsidRPr="0006063C" w:rsidSect="00034616">
      <w:headerReference w:type="default" r:id="rId9"/>
      <w:headerReference w:type="first" r:id="rId10"/>
      <w:footerReference w:type="first" r:id="rId11"/>
      <w:footerReference w:type="default" r:id="rId12"/>
      <w:pgSz w:w="11906" w:h="16838"/>
      <w:pgMar w:top="1134" w:right="1020" w:bottom="1077"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color w:val="666666"/>
        <w:sz w:val="17"/>
      </w:rPr>
      <w:t>智算中心分阶段接入与小时级绿电协同规划 · 最新版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2F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达产与扩建延期不确定性下智算中心分阶段接入与小时级绿电协同规划</dc:title>
  <dc:subject>科研论文实施方案聚焦最新版</dc:subject>
  <dc:creator>Research Project</dc:creator>
  <cp:keywords>AI data center; phased interconnection; multistage stochastic planning; grid reinforcement; hourly clean-energy matching; flexibility double counting</cp:keywords>
  <dc:description>generated by python-docx</dc:description>
  <cp:lastModifiedBy/>
  <cp:revision>1</cp:revision>
  <dcterms:created xsi:type="dcterms:W3CDTF">2013-12-23T23:15:00Z</dcterms:created>
  <dcterms:modified xsi:type="dcterms:W3CDTF">2013-12-23T23:15:00Z</dcterms:modified>
  <cp:category/>
</cp:coreProperties>
</file>