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案例中所用文本内容和字体样式大小</w:t>
      </w:r>
    </w:p>
    <w:p>
      <w:pPr>
        <w:jc w:val="center"/>
        <w:rPr>
          <w:rFonts w:hint="default"/>
          <w:b/>
          <w:bCs/>
          <w:sz w:val="44"/>
          <w:szCs w:val="44"/>
          <w:lang w:val="en-US" w:eastAsia="zh-CN"/>
        </w:rPr>
      </w:pPr>
    </w:p>
    <w:p/>
    <w:tbl>
      <w:tblPr>
        <w:tblStyle w:val="2"/>
        <w:tblW w:w="827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"/>
        <w:gridCol w:w="1279"/>
        <w:gridCol w:w="1003"/>
        <w:gridCol w:w="1242"/>
        <w:gridCol w:w="1963"/>
        <w:gridCol w:w="1031"/>
        <w:gridCol w:w="1104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行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文本内容</w:t>
            </w: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</w:t>
            </w:r>
          </w:p>
        </w:tc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字体</w:t>
            </w: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文本内容</w:t>
            </w:r>
            <w:bookmarkStart w:id="0" w:name="_GoBack"/>
            <w:bookmarkEnd w:id="0"/>
          </w:p>
        </w:tc>
        <w:tc>
          <w:tcPr>
            <w:tcW w:w="1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字体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NO.3</w:t>
            </w: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48px</w:t>
            </w:r>
          </w:p>
        </w:tc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ONYX</w:t>
            </w: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BUTTERFLY</w:t>
            </w:r>
          </w:p>
        </w:tc>
        <w:tc>
          <w:tcPr>
            <w:tcW w:w="1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58px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TCCM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in August</w:t>
            </w: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24px</w:t>
            </w:r>
          </w:p>
        </w:tc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ROCK</w:t>
            </w: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28th.2015</w:t>
            </w:r>
          </w:p>
        </w:tc>
        <w:tc>
          <w:tcPr>
            <w:tcW w:w="1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36px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ROCK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2015</w:t>
            </w: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60px</w:t>
            </w:r>
          </w:p>
        </w:tc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BOOMBOX</w:t>
            </w: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秋装全面上新</w:t>
            </w:r>
          </w:p>
        </w:tc>
        <w:tc>
          <w:tcPr>
            <w:tcW w:w="1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50px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LTCH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</w:trPr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全场两件</w:t>
            </w: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36px</w:t>
            </w:r>
          </w:p>
        </w:tc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微软雅黑</w:t>
            </w: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包邮</w:t>
            </w:r>
          </w:p>
        </w:tc>
        <w:tc>
          <w:tcPr>
            <w:tcW w:w="1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36px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微软雅黑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548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有邂逅相逢，所有萍聚水遇，都在缘分的天空下慢慢演绎。一款柔情含蓄的衣饰或是一袭与众不同的衣衫，都会成为你不同凡响必要法宝。在火热激情的青春里，在热烈奔放的夏之海洋里，你会选择什么样的精彩？</w:t>
            </w:r>
          </w:p>
        </w:tc>
        <w:tc>
          <w:tcPr>
            <w:tcW w:w="1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14px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微软雅黑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27516"/>
    <w:rsid w:val="798C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2021-04-12T09:47:00Z</dcterms:created>
  <dc:creator>Lenovo</dc:creator>
  <cp:lastModifiedBy>王艳丽</cp:lastModifiedBy>
  <dcterms:modified xsi:type="dcterms:W3CDTF">2021-04-12T10:06:11Z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17EAD187E4FA432EB3EE4AF34019FBA0</vt:lpwstr>
  </property>
</Properties>
</file>