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1A2E"/>
          <w:sz w:val="72"/>
        </w:rPr>
        <w:t>Atlas Protocol</w:t>
      </w:r>
    </w:p>
    <w:p>
      <w:pPr>
        <w:jc w:val="center"/>
      </w:pPr>
      <w:r>
        <w:rPr>
          <w:rFonts w:ascii="Calibri" w:hAnsi="Calibri"/>
          <w:color w:val="2C3E6B"/>
          <w:sz w:val="44"/>
        </w:rPr>
        <w:t>Market Research &amp; Intelligence</w:t>
      </w:r>
    </w:p>
    <w:p/>
    <w:p>
      <w:pPr>
        <w:jc w:val="center"/>
      </w:pPr>
      <w:r>
        <w:rPr>
          <w:rFonts w:ascii="Calibri" w:hAnsi="Calibri"/>
          <w:color w:val="999999"/>
          <w:sz w:val="24"/>
        </w:rPr>
        <w:t>Version 0.1  |  March 2026</w:t>
      </w:r>
    </w:p>
    <w:p/>
    <w:p/>
    <w:p>
      <w:pPr>
        <w:jc w:val="center"/>
      </w:pPr>
      <w:r>
        <w:rPr>
          <w:rFonts w:ascii="Calibri" w:hAnsi="Calibri"/>
          <w:i/>
          <w:color w:val="666666"/>
          <w:sz w:val="22"/>
        </w:rPr>
        <w:t>Prepared by Lemonade Social Events</w:t>
      </w:r>
    </w:p>
    <w:p>
      <w:r>
        <w:br w:type="page"/>
      </w:r>
    </w:p>
    <w:p>
      <w:pPr>
        <w:pStyle w:val="Heading1"/>
      </w:pPr>
      <w:r>
        <w:t>Executive Summary</w:t>
      </w:r>
    </w:p>
    <w:p>
      <w:r>
        <w:t>The global events industry crossed $1 trillion in 2024, with projections reaching $2.5 trillion by 2035 at a 6.8% CAGR (Allied Market Research, 2025). Online event ticketing alone represents a $40-70 billion market, depending on methodology. The experience economy is accelerating: Live Nation posted $25 billion in revenue for 2025, up 9% year-over-year, with 159 million fans attending live events (Live Nation Newsroom, Feb 2026). Experiential marketing spend surpassed its pre-pandemic peak, reaching $128.35 billion in 2024 (Marketing Dive, 2024).</w:t>
      </w:r>
    </w:p>
    <w:p>
      <w:r>
        <w:t>Three forces converge to create Atlas's opportunity window:</w:t>
      </w:r>
    </w:p>
    <w:p>
      <w:r>
        <w:rPr>
          <w:b/>
        </w:rPr>
        <w:t xml:space="preserve">1. The IRL renaissance. </w:t>
      </w:r>
      <w:r>
        <w:t>79% of 18-to-35-year-olds plan to attend more events in 2026 (Eventbrite Social Study, Jan 2026). The U.S. Surgeon General declared a loneliness epidemic. 53% of Americans want to reduce phone usage (Reviews.org, 2025). Demand for in-person connection is measurable and growing.</w:t>
      </w:r>
    </w:p>
    <w:p>
      <w:r>
        <w:rPr>
          <w:b/>
        </w:rPr>
        <w:t xml:space="preserve">2. The generational handoff. </w:t>
      </w:r>
      <w:r>
        <w:t>Gen Z's global spending will grow from $2.7 trillion (2024) to $12.6 trillion by 2030 (Bank of America, March 2025). Gen X holds $15.2 trillion in spending power in 2025 and is in peak earning years (NielsenIQ, 2025). Both generations are high-value event consumers with different discovery patterns.</w:t>
      </w:r>
    </w:p>
    <w:p>
      <w:r>
        <w:rPr>
          <w:b/>
        </w:rPr>
        <w:t xml:space="preserve">3. The AI agent gap. </w:t>
      </w:r>
      <w:r>
        <w:t>The AI agent market will grow from $7.63 billion (2025) to $182.97 billion by 2033 at a 49.6% CAGR (Grand View Research, 2025). AI agents already handle 40% of travel planning (Statista, 2025). Event discovery and booking remain the least mature category for agent commerce. No protocol exists for agents to discover, hold, and purchase event tickets.</w:t>
      </w:r>
    </w:p>
    <w:p>
      <w:r>
        <w:t>Atlas targets the intersection of these three forces: the protocol layer that connects a trillion-dollar event industry to the next generation of AI-powered distribution.</w:t>
      </w:r>
    </w:p>
    <w:p>
      <w:pPr>
        <w:spacing w:before="240" w:after="240"/>
        <w:pBdr>
          <w:bottom w:val="single" w:sz="4" w:space="1" w:color="CCCCCC"/>
        </w:pBdr>
      </w:pPr>
    </w:p>
    <w:p>
      <w:pPr>
        <w:pStyle w:val="Heading2"/>
      </w:pPr>
      <w:r>
        <w:t>Key Numbers at a Glance</w:t>
      </w:r>
    </w:p>
    <w:p>
      <w:pPr>
        <w:spacing w:before="120" w:after="40"/>
        <w:ind w:left="567"/>
      </w:pPr>
      <w:r>
        <w:rPr>
          <w:rFonts w:ascii="Calibri" w:hAnsi="Calibri"/>
          <w:b/>
          <w:color w:val="2C3E6B"/>
          <w:sz w:val="36"/>
        </w:rPr>
        <w:t>$1.0 - 1.3 Trillion</w:t>
      </w:r>
    </w:p>
    <w:p>
      <w:pPr>
        <w:spacing w:after="40"/>
        <w:ind w:left="567"/>
      </w:pPr>
      <w:r>
        <w:rPr>
          <w:rFonts w:ascii="Calibri" w:hAnsi="Calibri"/>
          <w:sz w:val="22"/>
        </w:rPr>
        <w:t>Global events industry market size (2024)</w:t>
      </w:r>
    </w:p>
    <w:p>
      <w:pPr>
        <w:spacing w:after="200"/>
        <w:ind w:left="567"/>
      </w:pPr>
      <w:r>
        <w:rPr>
          <w:rFonts w:ascii="Calibri" w:hAnsi="Calibri"/>
          <w:i/>
          <w:color w:val="999999"/>
          <w:sz w:val="18"/>
        </w:rPr>
        <w:t>Allied Market Research, SkyQuest, Custom Market Insights</w:t>
      </w:r>
    </w:p>
    <w:p>
      <w:pPr>
        <w:spacing w:before="120" w:after="40"/>
        <w:ind w:left="567"/>
      </w:pPr>
      <w:r>
        <w:rPr>
          <w:rFonts w:ascii="Calibri" w:hAnsi="Calibri"/>
          <w:b/>
          <w:color w:val="2C3E6B"/>
          <w:sz w:val="36"/>
        </w:rPr>
        <w:t>$60 - 85 Billion</w:t>
      </w:r>
    </w:p>
    <w:p>
      <w:pPr>
        <w:spacing w:after="40"/>
        <w:ind w:left="567"/>
      </w:pPr>
      <w:r>
        <w:rPr>
          <w:rFonts w:ascii="Calibri" w:hAnsi="Calibri"/>
          <w:sz w:val="22"/>
        </w:rPr>
        <w:t>Global online event ticketing market (2024)</w:t>
      </w:r>
    </w:p>
    <w:p>
      <w:pPr>
        <w:spacing w:after="200"/>
        <w:ind w:left="567"/>
      </w:pPr>
      <w:r>
        <w:rPr>
          <w:rFonts w:ascii="Calibri" w:hAnsi="Calibri"/>
          <w:i/>
          <w:color w:val="999999"/>
          <w:sz w:val="18"/>
        </w:rPr>
        <w:t>Mordor Intelligence, Grand View Research, SNS Insider</w:t>
      </w:r>
    </w:p>
    <w:p>
      <w:pPr>
        <w:spacing w:before="120" w:after="40"/>
        <w:ind w:left="567"/>
      </w:pPr>
      <w:r>
        <w:rPr>
          <w:rFonts w:ascii="Calibri" w:hAnsi="Calibri"/>
          <w:b/>
          <w:color w:val="2C3E6B"/>
          <w:sz w:val="36"/>
        </w:rPr>
        <w:t>79%</w:t>
      </w:r>
    </w:p>
    <w:p>
      <w:pPr>
        <w:spacing w:after="40"/>
        <w:ind w:left="567"/>
      </w:pPr>
      <w:r>
        <w:rPr>
          <w:rFonts w:ascii="Calibri" w:hAnsi="Calibri"/>
          <w:sz w:val="22"/>
        </w:rPr>
        <w:t>of 18-to-35-year-olds plan to attend more events in 2026</w:t>
      </w:r>
    </w:p>
    <w:p>
      <w:pPr>
        <w:spacing w:after="200"/>
        <w:ind w:left="567"/>
      </w:pPr>
      <w:r>
        <w:rPr>
          <w:rFonts w:ascii="Calibri" w:hAnsi="Calibri"/>
          <w:i/>
          <w:color w:val="999999"/>
          <w:sz w:val="18"/>
        </w:rPr>
        <w:t>Eventbrite Social Study, January 2026</w:t>
      </w:r>
    </w:p>
    <w:p>
      <w:pPr>
        <w:spacing w:before="120" w:after="40"/>
        <w:ind w:left="567"/>
      </w:pPr>
      <w:r>
        <w:rPr>
          <w:rFonts w:ascii="Calibri" w:hAnsi="Calibri"/>
          <w:b/>
          <w:color w:val="2C3E6B"/>
          <w:sz w:val="36"/>
        </w:rPr>
        <w:t>$12.6 Trillion</w:t>
      </w:r>
    </w:p>
    <w:p>
      <w:pPr>
        <w:spacing w:after="40"/>
        <w:ind w:left="567"/>
      </w:pPr>
      <w:r>
        <w:rPr>
          <w:rFonts w:ascii="Calibri" w:hAnsi="Calibri"/>
          <w:sz w:val="22"/>
        </w:rPr>
        <w:t>Gen Z projected global spending by 2030 (up from $2.7T in 2024)</w:t>
      </w:r>
    </w:p>
    <w:p>
      <w:pPr>
        <w:spacing w:after="200"/>
        <w:ind w:left="567"/>
      </w:pPr>
      <w:r>
        <w:rPr>
          <w:rFonts w:ascii="Calibri" w:hAnsi="Calibri"/>
          <w:i/>
          <w:color w:val="999999"/>
          <w:sz w:val="18"/>
        </w:rPr>
        <w:t>Bank of America Institute, March 2025</w:t>
      </w:r>
    </w:p>
    <w:p>
      <w:pPr>
        <w:spacing w:before="120" w:after="40"/>
        <w:ind w:left="567"/>
      </w:pPr>
      <w:r>
        <w:rPr>
          <w:rFonts w:ascii="Calibri" w:hAnsi="Calibri"/>
          <w:b/>
          <w:color w:val="2C3E6B"/>
          <w:sz w:val="36"/>
        </w:rPr>
        <w:t>$15.2 Trillion</w:t>
      </w:r>
    </w:p>
    <w:p>
      <w:pPr>
        <w:spacing w:after="40"/>
        <w:ind w:left="567"/>
      </w:pPr>
      <w:r>
        <w:rPr>
          <w:rFonts w:ascii="Calibri" w:hAnsi="Calibri"/>
          <w:sz w:val="22"/>
        </w:rPr>
        <w:t>Gen X spending power in 2025 (largest per-capita of any generation)</w:t>
      </w:r>
    </w:p>
    <w:p>
      <w:pPr>
        <w:spacing w:after="200"/>
        <w:ind w:left="567"/>
      </w:pPr>
      <w:r>
        <w:rPr>
          <w:rFonts w:ascii="Calibri" w:hAnsi="Calibri"/>
          <w:i/>
          <w:color w:val="999999"/>
          <w:sz w:val="18"/>
        </w:rPr>
        <w:t>NielsenIQ, 2025</w:t>
      </w:r>
    </w:p>
    <w:p>
      <w:pPr>
        <w:spacing w:before="120" w:after="40"/>
        <w:ind w:left="567"/>
      </w:pPr>
      <w:r>
        <w:rPr>
          <w:rFonts w:ascii="Calibri" w:hAnsi="Calibri"/>
          <w:b/>
          <w:color w:val="2C3E6B"/>
          <w:sz w:val="36"/>
        </w:rPr>
        <w:t>49.6% CAGR</w:t>
      </w:r>
    </w:p>
    <w:p>
      <w:pPr>
        <w:spacing w:after="40"/>
        <w:ind w:left="567"/>
      </w:pPr>
      <w:r>
        <w:rPr>
          <w:rFonts w:ascii="Calibri" w:hAnsi="Calibri"/>
          <w:sz w:val="22"/>
        </w:rPr>
        <w:t>AI agent market growth rate (2025-2033)</w:t>
      </w:r>
    </w:p>
    <w:p>
      <w:pPr>
        <w:spacing w:after="200"/>
        <w:ind w:left="567"/>
      </w:pPr>
      <w:r>
        <w:rPr>
          <w:rFonts w:ascii="Calibri" w:hAnsi="Calibri"/>
          <w:i/>
          <w:color w:val="999999"/>
          <w:sz w:val="18"/>
        </w:rPr>
        <w:t>Grand View Research, 2025</w:t>
      </w:r>
    </w:p>
    <w:p>
      <w:r>
        <w:br w:type="page"/>
      </w:r>
    </w:p>
    <w:p>
      <w:pPr>
        <w:pStyle w:val="Heading1"/>
      </w:pPr>
      <w:r>
        <w:t>1. Total Addressable Market</w:t>
      </w:r>
    </w:p>
    <w:p>
      <w:pPr>
        <w:pStyle w:val="Heading2"/>
      </w:pPr>
      <w:r>
        <w:t>1.1 The Broadest View: Global Events Industry</w:t>
      </w:r>
    </w:p>
    <w:p>
      <w:r>
        <w:t>Multiple research firms have sized the global events industry. The numbers vary based on what each firm includes (corporate events, weddings, sports, entertainment, trade shows, etc.), but they converge on a clear picture: the market is at or above $1 trillion.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1A1A2E" w:val="clear"/>
          </w:tcPr>
          <w:p>
            <w:pPr>
              <w:jc w:val="left"/>
            </w:pPr>
            <w:r>
              <w:rPr>
                <w:rFonts w:ascii="Calibri" w:hAnsi="Calibri"/>
                <w:b/>
                <w:color w:val="FFFFFF"/>
                <w:sz w:val="20"/>
              </w:rPr>
              <w:t>Source</w:t>
            </w:r>
          </w:p>
        </w:tc>
        <w:tc>
          <w:tcPr>
            <w:tcW w:type="dxa" w:w="2160"/>
            <w:shd w:fill="1A1A2E" w:val="clear"/>
          </w:tcPr>
          <w:p>
            <w:pPr>
              <w:jc w:val="left"/>
            </w:pPr>
            <w:r>
              <w:rPr>
                <w:rFonts w:ascii="Calibri" w:hAnsi="Calibri"/>
                <w:b/>
                <w:color w:val="FFFFFF"/>
                <w:sz w:val="20"/>
              </w:rPr>
              <w:t>2024 Valuation</w:t>
            </w:r>
          </w:p>
        </w:tc>
        <w:tc>
          <w:tcPr>
            <w:tcW w:type="dxa" w:w="2160"/>
            <w:shd w:fill="1A1A2E" w:val="clear"/>
          </w:tcPr>
          <w:p>
            <w:pPr>
              <w:jc w:val="left"/>
            </w:pPr>
            <w:r>
              <w:rPr>
                <w:rFonts w:ascii="Calibri" w:hAnsi="Calibri"/>
                <w:b/>
                <w:color w:val="FFFFFF"/>
                <w:sz w:val="20"/>
              </w:rPr>
              <w:t>2035 Projection</w:t>
            </w:r>
          </w:p>
        </w:tc>
        <w:tc>
          <w:tcPr>
            <w:tcW w:type="dxa" w:w="1152"/>
            <w:shd w:fill="1A1A2E" w:val="clear"/>
          </w:tcPr>
          <w:p>
            <w:pPr>
              <w:jc w:val="left"/>
            </w:pPr>
            <w:r>
              <w:rPr>
                <w:rFonts w:ascii="Calibri" w:hAnsi="Calibri"/>
                <w:b/>
                <w:color w:val="FFFFFF"/>
                <w:sz w:val="20"/>
              </w:rPr>
              <w:t>CAGR</w:t>
            </w:r>
          </w:p>
        </w:tc>
      </w:tr>
      <w:tr>
        <w:tc>
          <w:tcPr>
            <w:tcW w:type="dxa" w:w="3168"/>
            <w:shd w:fill="F5F5FA" w:val="clear"/>
          </w:tcPr>
          <w:p>
            <w:r>
              <w:rPr>
                <w:rFonts w:ascii="Calibri" w:hAnsi="Calibri"/>
                <w:sz w:val="20"/>
              </w:rPr>
              <w:t>Allied Market Research (Feb 2025)</w:t>
            </w:r>
          </w:p>
        </w:tc>
        <w:tc>
          <w:tcPr>
            <w:tcW w:type="dxa" w:w="2160"/>
            <w:shd w:fill="F5F5FA" w:val="clear"/>
          </w:tcPr>
          <w:p>
            <w:r>
              <w:rPr>
                <w:rFonts w:ascii="Calibri" w:hAnsi="Calibri"/>
                <w:sz w:val="20"/>
              </w:rPr>
              <w:t>$736.8B (2021 base)</w:t>
            </w:r>
          </w:p>
        </w:tc>
        <w:tc>
          <w:tcPr>
            <w:tcW w:type="dxa" w:w="2160"/>
            <w:shd w:fill="F5F5FA" w:val="clear"/>
          </w:tcPr>
          <w:p>
            <w:r>
              <w:rPr>
                <w:rFonts w:ascii="Calibri" w:hAnsi="Calibri"/>
                <w:sz w:val="20"/>
              </w:rPr>
              <w:t>$2.5T</w:t>
            </w:r>
          </w:p>
        </w:tc>
        <w:tc>
          <w:tcPr>
            <w:tcW w:type="dxa" w:w="1152"/>
            <w:shd w:fill="F5F5FA" w:val="clear"/>
          </w:tcPr>
          <w:p>
            <w:r>
              <w:rPr>
                <w:rFonts w:ascii="Calibri" w:hAnsi="Calibri"/>
                <w:sz w:val="20"/>
              </w:rPr>
              <w:t>6.8%</w:t>
            </w:r>
          </w:p>
        </w:tc>
      </w:tr>
      <w:tr>
        <w:tc>
          <w:tcPr>
            <w:tcW w:type="dxa" w:w="3168"/>
          </w:tcPr>
          <w:p>
            <w:r>
              <w:rPr>
                <w:rFonts w:ascii="Calibri" w:hAnsi="Calibri"/>
                <w:sz w:val="20"/>
              </w:rPr>
              <w:t>SkyQuest Technology (2025)</w:t>
            </w:r>
          </w:p>
        </w:tc>
        <w:tc>
          <w:tcPr>
            <w:tcW w:type="dxa" w:w="2160"/>
          </w:tcPr>
          <w:p>
            <w:r>
              <w:rPr>
                <w:rFonts w:ascii="Calibri" w:hAnsi="Calibri"/>
                <w:sz w:val="20"/>
              </w:rPr>
              <w:t>$1.33T</w:t>
            </w:r>
          </w:p>
        </w:tc>
        <w:tc>
          <w:tcPr>
            <w:tcW w:type="dxa" w:w="2160"/>
          </w:tcPr>
          <w:p>
            <w:r>
              <w:rPr>
                <w:rFonts w:ascii="Calibri" w:hAnsi="Calibri"/>
                <w:sz w:val="20"/>
              </w:rPr>
              <w:t>$3.12T (2032)</w:t>
            </w:r>
          </w:p>
        </w:tc>
        <w:tc>
          <w:tcPr>
            <w:tcW w:type="dxa" w:w="1152"/>
          </w:tcPr>
          <w:p>
            <w:r>
              <w:rPr>
                <w:rFonts w:ascii="Calibri" w:hAnsi="Calibri"/>
                <w:sz w:val="20"/>
              </w:rPr>
              <w:t>11.2%</w:t>
            </w:r>
          </w:p>
        </w:tc>
      </w:tr>
      <w:tr>
        <w:tc>
          <w:tcPr>
            <w:tcW w:type="dxa" w:w="3168"/>
            <w:shd w:fill="F5F5FA" w:val="clear"/>
          </w:tcPr>
          <w:p>
            <w:r>
              <w:rPr>
                <w:rFonts w:ascii="Calibri" w:hAnsi="Calibri"/>
                <w:sz w:val="20"/>
              </w:rPr>
              <w:t>Custom Market Insights (2024)</w:t>
            </w:r>
          </w:p>
        </w:tc>
        <w:tc>
          <w:tcPr>
            <w:tcW w:type="dxa" w:w="2160"/>
            <w:shd w:fill="F5F5FA" w:val="clear"/>
          </w:tcPr>
          <w:p>
            <w:r>
              <w:rPr>
                <w:rFonts w:ascii="Calibri" w:hAnsi="Calibri"/>
                <w:sz w:val="20"/>
              </w:rPr>
              <w:t>$1.02T</w:t>
            </w:r>
          </w:p>
        </w:tc>
        <w:tc>
          <w:tcPr>
            <w:tcW w:type="dxa" w:w="2160"/>
            <w:shd w:fill="F5F5FA" w:val="clear"/>
          </w:tcPr>
          <w:p>
            <w:r>
              <w:rPr>
                <w:rFonts w:ascii="Calibri" w:hAnsi="Calibri"/>
                <w:sz w:val="20"/>
              </w:rPr>
              <w:t>N/A</w:t>
            </w:r>
          </w:p>
        </w:tc>
        <w:tc>
          <w:tcPr>
            <w:tcW w:type="dxa" w:w="1152"/>
            <w:shd w:fill="F5F5FA" w:val="clear"/>
          </w:tcPr>
          <w:p>
            <w:r>
              <w:rPr>
                <w:rFonts w:ascii="Calibri" w:hAnsi="Calibri"/>
                <w:sz w:val="20"/>
              </w:rPr>
              <w:t>13.5%</w:t>
            </w:r>
          </w:p>
        </w:tc>
      </w:tr>
      <w:tr>
        <w:tc>
          <w:tcPr>
            <w:tcW w:type="dxa" w:w="3168"/>
          </w:tcPr>
          <w:p>
            <w:r>
              <w:rPr>
                <w:rFonts w:ascii="Calibri" w:hAnsi="Calibri"/>
                <w:sz w:val="20"/>
              </w:rPr>
              <w:t>Expert Market Research (2025)</w:t>
            </w:r>
          </w:p>
        </w:tc>
        <w:tc>
          <w:tcPr>
            <w:tcW w:type="dxa" w:w="2160"/>
          </w:tcPr>
          <w:p>
            <w:r>
              <w:rPr>
                <w:rFonts w:ascii="Calibri" w:hAnsi="Calibri"/>
                <w:sz w:val="20"/>
              </w:rPr>
              <w:t>$1.48T (2025)</w:t>
            </w:r>
          </w:p>
        </w:tc>
        <w:tc>
          <w:tcPr>
            <w:tcW w:type="dxa" w:w="2160"/>
          </w:tcPr>
          <w:p>
            <w:r>
              <w:rPr>
                <w:rFonts w:ascii="Calibri" w:hAnsi="Calibri"/>
                <w:sz w:val="20"/>
              </w:rPr>
              <w:t>N/A</w:t>
            </w:r>
          </w:p>
        </w:tc>
        <w:tc>
          <w:tcPr>
            <w:tcW w:type="dxa" w:w="1152"/>
          </w:tcPr>
          <w:p>
            <w:r>
              <w:rPr>
                <w:rFonts w:ascii="Calibri" w:hAnsi="Calibri"/>
                <w:sz w:val="20"/>
              </w:rPr>
              <w:t>N/A</w:t>
            </w:r>
          </w:p>
        </w:tc>
      </w:tr>
      <w:tr>
        <w:tc>
          <w:tcPr>
            <w:tcW w:type="dxa" w:w="3168"/>
            <w:shd w:fill="F5F5FA" w:val="clear"/>
          </w:tcPr>
          <w:p>
            <w:r>
              <w:rPr>
                <w:rFonts w:ascii="Calibri" w:hAnsi="Calibri"/>
                <w:sz w:val="20"/>
              </w:rPr>
              <w:t>Technavio (2025)</w:t>
            </w:r>
          </w:p>
        </w:tc>
        <w:tc>
          <w:tcPr>
            <w:tcW w:type="dxa" w:w="2160"/>
            <w:shd w:fill="F5F5FA" w:val="clear"/>
          </w:tcPr>
          <w:p>
            <w:r>
              <w:rPr>
                <w:rFonts w:ascii="Calibri" w:hAnsi="Calibri"/>
                <w:sz w:val="20"/>
              </w:rPr>
              <w:t>N/A</w:t>
            </w:r>
          </w:p>
        </w:tc>
        <w:tc>
          <w:tcPr>
            <w:tcW w:type="dxa" w:w="2160"/>
            <w:shd w:fill="F5F5FA" w:val="clear"/>
          </w:tcPr>
          <w:p>
            <w:r>
              <w:rPr>
                <w:rFonts w:ascii="Calibri" w:hAnsi="Calibri"/>
                <w:sz w:val="20"/>
              </w:rPr>
              <w:t>+$1.07T growth (2025-29)</w:t>
            </w:r>
          </w:p>
        </w:tc>
        <w:tc>
          <w:tcPr>
            <w:tcW w:type="dxa" w:w="1152"/>
            <w:shd w:fill="F5F5FA" w:val="clear"/>
          </w:tcPr>
          <w:p>
            <w:r>
              <w:rPr>
                <w:rFonts w:ascii="Calibri" w:hAnsi="Calibri"/>
                <w:sz w:val="20"/>
              </w:rPr>
              <w:t>N/A</w:t>
            </w:r>
          </w:p>
        </w:tc>
      </w:tr>
    </w:tbl>
    <w:p/>
    <w:p>
      <w:r>
        <w:t>The methodological differences explain the range. Allied Market Research uses a 2021 baseline of $736.8 billion and projects forward, while SkyQuest and CMI measure the 2024 market directly at $1.02-1.43 trillion. The key finding is consistent across all sources: the global events industry is a trillion-dollar market growing at 5-11% annually.</w:t>
      </w:r>
    </w:p>
    <w:p>
      <w:pPr>
        <w:pStyle w:val="Heading2"/>
      </w:pPr>
      <w:r>
        <w:t>1.2 Online Event Ticketing</w:t>
      </w:r>
    </w:p>
    <w:p>
      <w:r>
        <w:t>The online event ticketing market is a subset of the broader events industry and represents Atlas's most direct addressable market.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1A1A2E" w:val="clear"/>
          </w:tcPr>
          <w:p>
            <w:pPr>
              <w:jc w:val="left"/>
            </w:pPr>
            <w:r>
              <w:rPr>
                <w:rFonts w:ascii="Calibri" w:hAnsi="Calibri"/>
                <w:b/>
                <w:color w:val="FFFFFF"/>
                <w:sz w:val="20"/>
              </w:rPr>
              <w:t>Source</w:t>
            </w:r>
          </w:p>
        </w:tc>
        <w:tc>
          <w:tcPr>
            <w:tcW w:type="dxa" w:w="2160"/>
            <w:shd w:fill="1A1A2E" w:val="clear"/>
          </w:tcPr>
          <w:p>
            <w:pPr>
              <w:jc w:val="left"/>
            </w:pPr>
            <w:r>
              <w:rPr>
                <w:rFonts w:ascii="Calibri" w:hAnsi="Calibri"/>
                <w:b/>
                <w:color w:val="FFFFFF"/>
                <w:sz w:val="20"/>
              </w:rPr>
              <w:t>2024 Valuation</w:t>
            </w:r>
          </w:p>
        </w:tc>
        <w:tc>
          <w:tcPr>
            <w:tcW w:type="dxa" w:w="2160"/>
            <w:shd w:fill="1A1A2E" w:val="clear"/>
          </w:tcPr>
          <w:p>
            <w:pPr>
              <w:jc w:val="left"/>
            </w:pPr>
            <w:r>
              <w:rPr>
                <w:rFonts w:ascii="Calibri" w:hAnsi="Calibri"/>
                <w:b/>
                <w:color w:val="FFFFFF"/>
                <w:sz w:val="20"/>
              </w:rPr>
              <w:t>Projection</w:t>
            </w:r>
          </w:p>
        </w:tc>
        <w:tc>
          <w:tcPr>
            <w:tcW w:type="dxa" w:w="1152"/>
            <w:shd w:fill="1A1A2E" w:val="clear"/>
          </w:tcPr>
          <w:p>
            <w:pPr>
              <w:jc w:val="left"/>
            </w:pPr>
            <w:r>
              <w:rPr>
                <w:rFonts w:ascii="Calibri" w:hAnsi="Calibri"/>
                <w:b/>
                <w:color w:val="FFFFFF"/>
                <w:sz w:val="20"/>
              </w:rPr>
              <w:t>CAGR</w:t>
            </w:r>
          </w:p>
        </w:tc>
      </w:tr>
      <w:tr>
        <w:tc>
          <w:tcPr>
            <w:tcW w:type="dxa" w:w="3168"/>
            <w:shd w:fill="F5F5FA" w:val="clear"/>
          </w:tcPr>
          <w:p>
            <w:r>
              <w:rPr>
                <w:rFonts w:ascii="Calibri" w:hAnsi="Calibri"/>
                <w:sz w:val="20"/>
              </w:rPr>
              <w:t>Mordor Intelligence (2025)</w:t>
            </w:r>
          </w:p>
        </w:tc>
        <w:tc>
          <w:tcPr>
            <w:tcW w:type="dxa" w:w="2160"/>
            <w:shd w:fill="F5F5FA" w:val="clear"/>
          </w:tcPr>
          <w:p>
            <w:r>
              <w:rPr>
                <w:rFonts w:ascii="Calibri" w:hAnsi="Calibri"/>
                <w:sz w:val="20"/>
              </w:rPr>
              <w:t>~$85B</w:t>
            </w:r>
          </w:p>
        </w:tc>
        <w:tc>
          <w:tcPr>
            <w:tcW w:type="dxa" w:w="2160"/>
            <w:shd w:fill="F5F5FA" w:val="clear"/>
          </w:tcPr>
          <w:p>
            <w:r>
              <w:rPr>
                <w:rFonts w:ascii="Calibri" w:hAnsi="Calibri"/>
                <w:sz w:val="20"/>
              </w:rPr>
              <w:t>$105B (2031)</w:t>
            </w:r>
          </w:p>
        </w:tc>
        <w:tc>
          <w:tcPr>
            <w:tcW w:type="dxa" w:w="1152"/>
            <w:shd w:fill="F5F5FA" w:val="clear"/>
          </w:tcPr>
          <w:p>
            <w:r>
              <w:rPr>
                <w:rFonts w:ascii="Calibri" w:hAnsi="Calibri"/>
                <w:sz w:val="20"/>
              </w:rPr>
              <w:t>3.55%</w:t>
            </w:r>
          </w:p>
        </w:tc>
      </w:tr>
      <w:tr>
        <w:tc>
          <w:tcPr>
            <w:tcW w:type="dxa" w:w="3168"/>
          </w:tcPr>
          <w:p>
            <w:r>
              <w:rPr>
                <w:rFonts w:ascii="Calibri" w:hAnsi="Calibri"/>
                <w:sz w:val="20"/>
              </w:rPr>
              <w:t>Grand View Research (2025)</w:t>
            </w:r>
          </w:p>
        </w:tc>
        <w:tc>
          <w:tcPr>
            <w:tcW w:type="dxa" w:w="2160"/>
          </w:tcPr>
          <w:p>
            <w:r>
              <w:rPr>
                <w:rFonts w:ascii="Calibri" w:hAnsi="Calibri"/>
                <w:sz w:val="20"/>
              </w:rPr>
              <w:t>$39.8B</w:t>
            </w:r>
          </w:p>
        </w:tc>
        <w:tc>
          <w:tcPr>
            <w:tcW w:type="dxa" w:w="2160"/>
          </w:tcPr>
          <w:p>
            <w:r>
              <w:rPr>
                <w:rFonts w:ascii="Calibri" w:hAnsi="Calibri"/>
                <w:sz w:val="20"/>
              </w:rPr>
              <w:t>$74.42B (2033)</w:t>
            </w:r>
          </w:p>
        </w:tc>
        <w:tc>
          <w:tcPr>
            <w:tcW w:type="dxa" w:w="1152"/>
          </w:tcPr>
          <w:p>
            <w:r>
              <w:rPr>
                <w:rFonts w:ascii="Calibri" w:hAnsi="Calibri"/>
                <w:sz w:val="20"/>
              </w:rPr>
              <w:t>N/A</w:t>
            </w:r>
          </w:p>
        </w:tc>
      </w:tr>
      <w:tr>
        <w:tc>
          <w:tcPr>
            <w:tcW w:type="dxa" w:w="3168"/>
            <w:shd w:fill="F5F5FA" w:val="clear"/>
          </w:tcPr>
          <w:p>
            <w:r>
              <w:rPr>
                <w:rFonts w:ascii="Calibri" w:hAnsi="Calibri"/>
                <w:sz w:val="20"/>
              </w:rPr>
              <w:t>SNS Insider (2025)</w:t>
            </w:r>
          </w:p>
        </w:tc>
        <w:tc>
          <w:tcPr>
            <w:tcW w:type="dxa" w:w="2160"/>
            <w:shd w:fill="F5F5FA" w:val="clear"/>
          </w:tcPr>
          <w:p>
            <w:r>
              <w:rPr>
                <w:rFonts w:ascii="Calibri" w:hAnsi="Calibri"/>
                <w:sz w:val="20"/>
              </w:rPr>
              <w:t>$101.2B</w:t>
            </w:r>
          </w:p>
        </w:tc>
        <w:tc>
          <w:tcPr>
            <w:tcW w:type="dxa" w:w="2160"/>
            <w:shd w:fill="F5F5FA" w:val="clear"/>
          </w:tcPr>
          <w:p>
            <w:r>
              <w:rPr>
                <w:rFonts w:ascii="Calibri" w:hAnsi="Calibri"/>
                <w:sz w:val="20"/>
              </w:rPr>
              <w:t>$238B (2035)</w:t>
            </w:r>
          </w:p>
        </w:tc>
        <w:tc>
          <w:tcPr>
            <w:tcW w:type="dxa" w:w="1152"/>
            <w:shd w:fill="F5F5FA" w:val="clear"/>
          </w:tcPr>
          <w:p>
            <w:r>
              <w:rPr>
                <w:rFonts w:ascii="Calibri" w:hAnsi="Calibri"/>
                <w:sz w:val="20"/>
              </w:rPr>
              <w:t>8.08%</w:t>
            </w:r>
          </w:p>
        </w:tc>
      </w:tr>
      <w:tr>
        <w:tc>
          <w:tcPr>
            <w:tcW w:type="dxa" w:w="3168"/>
          </w:tcPr>
          <w:p>
            <w:r>
              <w:rPr>
                <w:rFonts w:ascii="Calibri" w:hAnsi="Calibri"/>
                <w:sz w:val="20"/>
              </w:rPr>
              <w:t>Market Research Intellect (2024)</w:t>
            </w:r>
          </w:p>
        </w:tc>
        <w:tc>
          <w:tcPr>
            <w:tcW w:type="dxa" w:w="2160"/>
          </w:tcPr>
          <w:p>
            <w:r>
              <w:rPr>
                <w:rFonts w:ascii="Calibri" w:hAnsi="Calibri"/>
                <w:sz w:val="20"/>
              </w:rPr>
              <w:t>N/A</w:t>
            </w:r>
          </w:p>
        </w:tc>
        <w:tc>
          <w:tcPr>
            <w:tcW w:type="dxa" w:w="2160"/>
          </w:tcPr>
          <w:p>
            <w:r>
              <w:rPr>
                <w:rFonts w:ascii="Calibri" w:hAnsi="Calibri"/>
                <w:sz w:val="20"/>
              </w:rPr>
              <w:t>$59.53B (2031)</w:t>
            </w:r>
          </w:p>
        </w:tc>
        <w:tc>
          <w:tcPr>
            <w:tcW w:type="dxa" w:w="1152"/>
          </w:tcPr>
          <w:p>
            <w:r>
              <w:rPr>
                <w:rFonts w:ascii="Calibri" w:hAnsi="Calibri"/>
                <w:sz w:val="20"/>
              </w:rPr>
              <w:t>6.0%</w:t>
            </w:r>
          </w:p>
        </w:tc>
      </w:tr>
    </w:tbl>
    <w:p/>
    <w:p>
      <w:r>
        <w:t>The wide range ($39.8B to $101.2B) reflects different scoping decisions. Mordor Intelligence and SNS Insider include secondary/resale markets and adjacent services. Grand View Research scopes more narrowly to primary online ticket sales. A conservative middle estimate places the global online ticketing market at $60-85 billion in 2024.</w:t>
      </w:r>
    </w:p>
    <w:p>
      <w:r>
        <w:t>Music concerts and festivals account for 36.73% of ticketing revenue. Mobile devices drive 58.95% of all ticket transactions, with 5G and digital wallets accelerating this share (Mordor Intelligence, 2025).</w:t>
      </w:r>
    </w:p>
    <w:p>
      <w:pPr>
        <w:pStyle w:val="Heading2"/>
      </w:pPr>
      <w:r>
        <w:t>1.3 US Market Specifically</w:t>
      </w:r>
    </w:p>
    <w:p>
      <w:pPr>
        <w:pStyle w:val="ListBullet"/>
      </w:pPr>
      <w:r>
        <w:rPr>
          <w:rFonts w:ascii="Calibri" w:hAnsi="Calibri"/>
          <w:sz w:val="22"/>
        </w:rPr>
        <w:t>US conferences, concerts, and events: $429.29 billion in 2024, projected to reach $670.56 billion by 2033 (Expert Market Research, 2025)</w:t>
      </w:r>
    </w:p>
    <w:p>
      <w:pPr>
        <w:pStyle w:val="ListBullet"/>
      </w:pPr>
      <w:r>
        <w:rPr>
          <w:rFonts w:ascii="Calibri" w:hAnsi="Calibri"/>
          <w:sz w:val="22"/>
        </w:rPr>
        <w:t>North America holds 38.76% of the global online ticketing market (Mordor Intelligence, 2025)</w:t>
      </w:r>
    </w:p>
    <w:p>
      <w:pPr>
        <w:pStyle w:val="ListBullet"/>
      </w:pPr>
      <w:r>
        <w:rPr>
          <w:rFonts w:ascii="Calibri" w:hAnsi="Calibri"/>
          <w:sz w:val="22"/>
        </w:rPr>
        <w:t>Live Nation alone generated $25 billion in US-centric revenue in 2025 (Live Nation Newsroom, Feb 2026)</w:t>
      </w:r>
    </w:p>
    <w:p>
      <w:r>
        <w:br w:type="page"/>
      </w:r>
    </w:p>
    <w:p>
      <w:pPr>
        <w:pStyle w:val="Heading1"/>
      </w:pPr>
      <w:r>
        <w:t>2. Market Segmentation</w:t>
      </w:r>
    </w:p>
    <w:p>
      <w:pPr>
        <w:pStyle w:val="Heading2"/>
      </w:pPr>
      <w:r>
        <w:t>2.1 Large-Scale Events: Festivals, Concerts, Major Conferences</w:t>
      </w:r>
    </w:p>
    <w:p>
      <w:r>
        <w:t>This segment covers events with 1,000+ attendees, professional production, and significant marketing budgets.</w:t>
      </w:r>
    </w:p>
    <w:p>
      <w:r>
        <w:rPr>
          <w:b/>
        </w:rPr>
        <w:t xml:space="preserve">Music festivals </w:t>
      </w:r>
      <w:r>
        <w:t>represent $3.05 billion globally in 2024, projected to reach $4.63 billion by 2026 at a 23.17% CAGR (Global Growth Insights, 2025). Festival attendance is expected to exceed 142 million globally in 2025, up from 124 million in 2023. Festival sponsorships account for 38% of festival revenues, making them a dual-revenue model.</w:t>
      </w:r>
    </w:p>
    <w:p>
      <w:r>
        <w:rPr>
          <w:b/>
        </w:rPr>
        <w:t xml:space="preserve">Live concerts </w:t>
      </w:r>
      <w:r>
        <w:t>are a $23.64 billion market in 2024, projected to reach $40.65 billion by 2032 at an 8.8% CAGR (Intel Market Research, 2025). Live Nation's numbers: $25 billion revenue in 2025, 159 million fans across 50,000+ events, operating income up 52% year-over-year. Stadium shows booked for 2026 are up 60% (Live Nation Newsroom, Feb 2026).</w:t>
      </w:r>
    </w:p>
    <w:p>
      <w:r>
        <w:rPr>
          <w:b/>
        </w:rPr>
        <w:t xml:space="preserve">Corporate events and conferences </w:t>
      </w:r>
      <w:r>
        <w:t>totaled $254.53 billion in 2024, growing to $282.17 billion in 2025 at a 10.9% CAGR (Technavio, 2025). 65% of companies worldwide increased their meetings and events spending in 2023. The segment is projected to grow by an additional $221.7 billion from 2025 to 2029.</w:t>
      </w:r>
    </w:p>
    <w:p>
      <w:r>
        <w:rPr>
          <w:b/>
        </w:rPr>
        <w:t xml:space="preserve">Trade shows </w:t>
      </w:r>
      <w:r>
        <w:t>are valued at $15.8 billion in 2024 in the US alone, surpassing pre-pandemic levels, with projected growth to $17.3 billion by 2028 (WaveCNCT, 2025).</w:t>
      </w:r>
    </w:p>
    <w:p>
      <w:r>
        <w:rPr>
          <w:b/>
          <w:color w:val="2C3E6B"/>
        </w:rPr>
        <w:t xml:space="preserve">Atlas relevance: </w:t>
      </w:r>
      <w:r>
        <w:t>Large-scale events are not Atlas's initial target. They are dominated by Ticketmaster (70-80% of major US venue primary ticketing, per the DOJ antitrust complaint, 2024) and rely on exclusive venue contracts. Atlas's value here is on the discovery and agent-access side, not primary ticketing displacement.</w:t>
      </w:r>
    </w:p>
    <w:p>
      <w:pPr>
        <w:pStyle w:val="Heading2"/>
      </w:pPr>
      <w:r>
        <w:t>2.2 Small and Medium Events: Creator, Community, and Brand</w:t>
      </w:r>
    </w:p>
    <w:p>
      <w:r>
        <w:rPr>
          <w:b/>
        </w:rPr>
        <w:t>This is Atlas's core segment.</w:t>
      </w:r>
    </w:p>
    <w:p>
      <w:r>
        <w:t>It includes community meetups and gatherings, creator-led workshops and experiences, brand-sponsored experiential events, local food, arts, and cultural events, wellness and fitness events, and niche interest gatherings (board games, crafting, cosplay). No single research firm sizes this segment in isolation, but several data points triangulate its scale.</w:t>
      </w:r>
    </w:p>
    <w:p>
      <w:r>
        <w:rPr>
          <w:b/>
        </w:rPr>
        <w:t xml:space="preserve">Eventbrite's footprint </w:t>
      </w:r>
      <w:r>
        <w:t>provides the clearest proxy: 1.4 million events in Q4 2024 alone, with 72 million tickets processed and 87 million monthly active users (Eventbrite Q4 2024 Earnings). Eventbrite's $325 million revenue (2024) at a ~3.7% + $1.79 fee structure implies roughly $4 billion in gross ticket sales flowing through a single platform focused on this segment.</w:t>
      </w:r>
    </w:p>
    <w:p>
      <w:r>
        <w:rPr>
          <w:b/>
        </w:rPr>
        <w:t xml:space="preserve">Experiential marketing </w:t>
      </w:r>
      <w:r>
        <w:t>is a $128.35 billion market in 2024, with B2C experiential spending at $90.32 billion and B2B at $38 billion (ATN Event Staffing, 2025). 74% of Fortune 1000 marketers plan to increase experiential budgets in 2025-2026 (G2, 2025). 80% of companies have increased experiential marketing spend, with budgets now representing 10-30% of total marketing allocations (Kande Photo Booths, 2026).</w:t>
      </w:r>
    </w:p>
    <w:p>
      <w:r>
        <w:rPr>
          <w:b/>
        </w:rPr>
        <w:t xml:space="preserve">The "Fourth Spaces" phenomenon </w:t>
      </w:r>
      <w:r>
        <w:t>documents explosive growth in community events. Eventbrite's January 2025 report found that food events grew 35%, alternative music saw 3x attendance growth, board game events grew 8x, crochet events grew 44%, cosplay events grew 50%, and comedy-dating hybrids grew 181% (Eventbrite Fourth Spaces Report, Jan 2025, n=2,000 US respondents ages 18-35). 95% are interested in exploring online interests through in-person events and 84% developed close friendships through interest-based event attendance.</w:t>
      </w:r>
    </w:p>
    <w:p>
      <w:pPr>
        <w:pStyle w:val="Heading2"/>
      </w:pPr>
      <w:r>
        <w:t>2.3 Meetups and Informal Gatherings</w:t>
      </w:r>
    </w:p>
    <w:p>
      <w:r>
        <w:t>The vast majority of events globally use no formal ticketing platform. When including community events, church gatherings, local sports, school events, and informal meetups, an estimated 80-90% of all "events" have no formal digital ticketing.</w:t>
      </w:r>
    </w:p>
    <w:p>
      <w:r>
        <w:t>Meetup.com historically hosted 300,000+ groups with 60 million registered members and 15,000-20,000 in-person events per week pre-COVID. Since Bending Spoons acquired Meetup in late 2023, the platform has seen ~90% staff reductions, pricing increases, removal of the free organizer tier, and significant organizer backlash. Many organizers have migrated to alternatives (Lu.ma, Discord communities, self-hosted solutions).</w:t>
      </w:r>
    </w:p>
    <w:p>
      <w:r>
        <w:br w:type="page"/>
      </w:r>
    </w:p>
    <w:p>
      <w:pPr>
        <w:pStyle w:val="Heading1"/>
      </w:pPr>
      <w:r>
        <w:t>3. The Experience Economy Tailwind</w:t>
      </w:r>
    </w:p>
    <w:p>
      <w:pPr>
        <w:pStyle w:val="Heading2"/>
      </w:pPr>
      <w:r>
        <w:t>3.1 The Spending Shift: Experiences Over Things</w:t>
      </w:r>
    </w:p>
    <w:p>
      <w:r>
        <w:t>The preference for experiences over material goods is not a marketing narrative. It is a documented shift in consumer behavior with hard data behind it.</w:t>
      </w:r>
    </w:p>
    <w:p>
      <w:pPr>
        <w:pStyle w:val="ListBullet"/>
      </w:pPr>
      <w:r>
        <w:rPr>
          <w:rFonts w:ascii="Calibri" w:hAnsi="Calibri"/>
          <w:sz w:val="22"/>
        </w:rPr>
        <w:t>American consumers spend $2.1 trillion annually on experiences (Empower, 2025)</w:t>
      </w:r>
    </w:p>
    <w:p>
      <w:pPr>
        <w:pStyle w:val="ListBullet"/>
      </w:pPr>
      <w:r>
        <w:rPr>
          <w:rFonts w:ascii="Calibri" w:hAnsi="Calibri"/>
          <w:sz w:val="22"/>
        </w:rPr>
        <w:t>78% of millennials prefer spending on experiences over material goods (Eventbrite/Harris Poll)</w:t>
      </w:r>
    </w:p>
    <w:p>
      <w:pPr>
        <w:pStyle w:val="ListBullet"/>
      </w:pPr>
      <w:r>
        <w:rPr>
          <w:rFonts w:ascii="Calibri" w:hAnsi="Calibri"/>
          <w:sz w:val="22"/>
        </w:rPr>
        <w:t>58% of Americans say they prefer spending on experiences, 14 percentage points higher than the global average (GWI, 2025)</w:t>
      </w:r>
    </w:p>
    <w:p>
      <w:pPr>
        <w:pStyle w:val="ListBullet"/>
      </w:pPr>
      <w:r>
        <w:rPr>
          <w:rFonts w:ascii="Calibri" w:hAnsi="Calibri"/>
          <w:sz w:val="22"/>
        </w:rPr>
        <w:t>US entertainment expenditures increased 5.1% in 2023, now 4.7% of total consumer expenditures (BLS Consumer Expenditure Survey, 2023)</w:t>
      </w:r>
    </w:p>
    <w:p>
      <w:pPr>
        <w:pStyle w:val="ListBullet"/>
      </w:pPr>
      <w:r>
        <w:rPr>
          <w:rFonts w:ascii="Calibri" w:hAnsi="Calibri"/>
          <w:sz w:val="22"/>
        </w:rPr>
        <w:t>In Europe, live events captured 32.1% of experience spending in 2024, up from 30.7% in 2019 (Mastercard, 2025)</w:t>
      </w:r>
    </w:p>
    <w:p>
      <w:r>
        <w:t>Music tourism is a breakout subcategory: $91.44 billion in 2024, projected to reach $330.12 billion by 2033 at a 15.6% CAGR (Grand View Research, 2024). The phenomenon of "gig-tripping," where travel plans are built around concerts and festivals, is now a measurable economic force.</w:t>
      </w:r>
    </w:p>
    <w:p>
      <w:pPr>
        <w:pStyle w:val="Heading2"/>
      </w:pPr>
      <w:r>
        <w:t>3.2 The Post-COVID Rebound</w:t>
      </w:r>
    </w:p>
    <w:p>
      <w:r>
        <w:t>Live events did not just recover from the pandemic. They exceeded pre-pandemic levels.</w:t>
      </w:r>
    </w:p>
    <w:p>
      <w:r>
        <w:t>Live Nation's trajectory tells the industry story: $23 billion revenue in 2024, $25 billion in 2025. Concert attendance grew from 127 million (2023) to 151 million (2024) to 159 million (2025). Ticketmaster concert ticket gross transaction value was up 50%+ in January 2026 compared to the prior year (Live Nation Newsroom, Feb 2026).</w:t>
      </w:r>
    </w:p>
    <w:p>
      <w:r>
        <w:t>Consumer demand for live entertainment is up 25% from 2019 across the industry. The experiential marketing industry surpassed its pre-pandemic peak of $121.87 billion (2019), reaching $128.35 billion in 2024, a 10.5% year-over-year increase (Marketing Dive, 2024).</w:t>
      </w:r>
    </w:p>
    <w:p>
      <w:r>
        <w:br w:type="page"/>
      </w:r>
    </w:p>
    <w:p>
      <w:pPr>
        <w:pStyle w:val="Heading1"/>
      </w:pPr>
      <w:r>
        <w:t>4. The IRL Renaissance</w:t>
      </w:r>
    </w:p>
    <w:p>
      <w:r>
        <w:rPr>
          <w:i/>
          <w:color w:val="666666"/>
        </w:rPr>
        <w:t>Loneliness, Digital Fatigue, and the Demand for Connection</w:t>
      </w:r>
    </w:p>
    <w:p>
      <w:pPr>
        <w:pStyle w:val="Heading2"/>
      </w:pPr>
      <w:r>
        <w:t>4.1 The Loneliness Epidemic</w:t>
      </w:r>
    </w:p>
    <w:p>
      <w:r>
        <w:t>The U.S. Surgeon General declared loneliness an epidemic in May 2023, issuing a formal advisory titled "Our Epidemic of Loneliness and Isolation." The data is stark:</w:t>
      </w:r>
    </w:p>
    <w:p>
      <w:pPr>
        <w:pStyle w:val="ListBullet"/>
      </w:pPr>
      <w:r>
        <w:rPr>
          <w:rFonts w:ascii="Calibri" w:hAnsi="Calibri"/>
          <w:sz w:val="22"/>
        </w:rPr>
        <w:t>50% of US adults report experiencing loneliness (Surgeon General's Advisory, 2023)</w:t>
      </w:r>
    </w:p>
    <w:p>
      <w:pPr>
        <w:pStyle w:val="ListBullet"/>
      </w:pPr>
      <w:r>
        <w:rPr>
          <w:rFonts w:ascii="Calibri" w:hAnsi="Calibri"/>
          <w:sz w:val="22"/>
        </w:rPr>
        <w:t>44 million Americans over age 18 experience "significant loneliness" (Surgeon General's Advisory, 2023)</w:t>
      </w:r>
    </w:p>
    <w:p>
      <w:pPr>
        <w:pStyle w:val="ListBullet"/>
      </w:pPr>
      <w:r>
        <w:rPr>
          <w:rFonts w:ascii="Calibri" w:hAnsi="Calibri"/>
          <w:sz w:val="22"/>
        </w:rPr>
        <w:t>Social isolation increases premature mortality risk by 29%, heart disease by 29%, stroke by 32%, and dementia by ~50% among older adults</w:t>
      </w:r>
    </w:p>
    <w:p>
      <w:pPr>
        <w:pStyle w:val="ListBullet"/>
      </w:pPr>
      <w:r>
        <w:rPr>
          <w:rFonts w:ascii="Calibri" w:hAnsi="Calibri"/>
          <w:sz w:val="22"/>
        </w:rPr>
        <w:t>The health impact of loneliness is comparable to smoking 15 cigarettes a day</w:t>
      </w:r>
    </w:p>
    <w:p>
      <w:pPr>
        <w:pStyle w:val="ListBullet"/>
      </w:pPr>
      <w:r>
        <w:rPr>
          <w:rFonts w:ascii="Calibri" w:hAnsi="Calibri"/>
          <w:sz w:val="22"/>
        </w:rPr>
        <w:t>79% of Gen Z respondents report experiencing loneliness (various surveys, 2024)</w:t>
      </w:r>
    </w:p>
    <w:p>
      <w:r>
        <w:t>Time spent with friends dropped 37% from 2014 to 2019, before the pandemic even began (Science Array / BU Today, 2025). The decline in "third places" (parks, coffee shops, community centers) has accelerated the isolation trend.</w:t>
      </w:r>
    </w:p>
    <w:p>
      <w:pPr>
        <w:pStyle w:val="Heading2"/>
      </w:pPr>
      <w:r>
        <w:t>4.2 Digital Fatigue Is Measurable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A1A2E" w:val="clear"/>
          </w:tcPr>
          <w:p>
            <w:pPr>
              <w:jc w:val="left"/>
            </w:pPr>
            <w:r>
              <w:rPr>
                <w:rFonts w:ascii="Calibri" w:hAnsi="Calibri"/>
                <w:b/>
                <w:color w:val="FFFFFF"/>
                <w:sz w:val="20"/>
              </w:rPr>
              <w:t>Metric</w:t>
            </w:r>
          </w:p>
        </w:tc>
        <w:tc>
          <w:tcPr>
            <w:tcW w:type="dxa" w:w="3168"/>
            <w:shd w:fill="1A1A2E" w:val="clear"/>
          </w:tcPr>
          <w:p>
            <w:pPr>
              <w:jc w:val="left"/>
            </w:pPr>
            <w:r>
              <w:rPr>
                <w:rFonts w:ascii="Calibri" w:hAnsi="Calibri"/>
                <w:b/>
                <w:color w:val="FFFFFF"/>
                <w:sz w:val="20"/>
              </w:rPr>
              <w:t>Data Point</w:t>
            </w:r>
          </w:p>
        </w:tc>
        <w:tc>
          <w:tcPr>
            <w:tcW w:type="dxa" w:w="2592"/>
            <w:shd w:fill="1A1A2E" w:val="clear"/>
          </w:tcPr>
          <w:p>
            <w:pPr>
              <w:jc w:val="left"/>
            </w:pPr>
            <w:r>
              <w:rPr>
                <w:rFonts w:ascii="Calibri" w:hAnsi="Calibri"/>
                <w:b/>
                <w:color w:val="FFFFFF"/>
                <w:sz w:val="20"/>
              </w:rPr>
              <w:t>Source</w:t>
            </w:r>
          </w:p>
        </w:tc>
      </w:tr>
      <w:tr>
        <w:tc>
          <w:tcPr>
            <w:tcW w:type="dxa" w:w="2880"/>
            <w:shd w:fill="F5F5FA" w:val="clear"/>
          </w:tcPr>
          <w:p>
            <w:r>
              <w:rPr>
                <w:rFonts w:ascii="Calibri" w:hAnsi="Calibri"/>
                <w:sz w:val="20"/>
              </w:rPr>
              <w:t>Daily phone screen time (US)</w:t>
            </w:r>
          </w:p>
        </w:tc>
        <w:tc>
          <w:tcPr>
            <w:tcW w:type="dxa" w:w="3168"/>
            <w:shd w:fill="F5F5FA" w:val="clear"/>
          </w:tcPr>
          <w:p>
            <w:r>
              <w:rPr>
                <w:rFonts w:ascii="Calibri" w:hAnsi="Calibri"/>
                <w:sz w:val="20"/>
              </w:rPr>
              <w:t>5h 16m (up 14% from 2024)</w:t>
            </w:r>
          </w:p>
        </w:tc>
        <w:tc>
          <w:tcPr>
            <w:tcW w:type="dxa" w:w="2592"/>
            <w:shd w:fill="F5F5FA" w:val="clear"/>
          </w:tcPr>
          <w:p>
            <w:r>
              <w:rPr>
                <w:rFonts w:ascii="Calibri" w:hAnsi="Calibri"/>
                <w:sz w:val="20"/>
              </w:rPr>
              <w:t>Reviews.org, 2025</w:t>
            </w:r>
          </w:p>
        </w:tc>
      </w:tr>
      <w:tr>
        <w:tc>
          <w:tcPr>
            <w:tcW w:type="dxa" w:w="2880"/>
          </w:tcPr>
          <w:p>
            <w:r>
              <w:rPr>
                <w:rFonts w:ascii="Calibri" w:hAnsi="Calibri"/>
                <w:sz w:val="20"/>
              </w:rPr>
              <w:t>Want to cut phone usage</w:t>
            </w:r>
          </w:p>
        </w:tc>
        <w:tc>
          <w:tcPr>
            <w:tcW w:type="dxa" w:w="3168"/>
          </w:tcPr>
          <w:p>
            <w:r>
              <w:rPr>
                <w:rFonts w:ascii="Calibri" w:hAnsi="Calibri"/>
                <w:sz w:val="20"/>
              </w:rPr>
              <w:t>53% of Americans (up 33% from 2023)</w:t>
            </w:r>
          </w:p>
        </w:tc>
        <w:tc>
          <w:tcPr>
            <w:tcW w:type="dxa" w:w="2592"/>
          </w:tcPr>
          <w:p>
            <w:r>
              <w:rPr>
                <w:rFonts w:ascii="Calibri" w:hAnsi="Calibri"/>
                <w:sz w:val="20"/>
              </w:rPr>
              <w:t>Reviews.org / HarmonyHit, 2025</w:t>
            </w:r>
          </w:p>
        </w:tc>
      </w:tr>
      <w:tr>
        <w:tc>
          <w:tcPr>
            <w:tcW w:type="dxa" w:w="2880"/>
            <w:shd w:fill="F5F5FA" w:val="clear"/>
          </w:tcPr>
          <w:p>
            <w:r>
              <w:rPr>
                <w:rFonts w:ascii="Calibri" w:hAnsi="Calibri"/>
                <w:sz w:val="20"/>
              </w:rPr>
              <w:t>Digital eye strain</w:t>
            </w:r>
          </w:p>
        </w:tc>
        <w:tc>
          <w:tcPr>
            <w:tcW w:type="dxa" w:w="3168"/>
            <w:shd w:fill="F5F5FA" w:val="clear"/>
          </w:tcPr>
          <w:p>
            <w:r>
              <w:rPr>
                <w:rFonts w:ascii="Calibri" w:hAnsi="Calibri"/>
                <w:sz w:val="20"/>
              </w:rPr>
              <w:t>65% of Americans</w:t>
            </w:r>
          </w:p>
        </w:tc>
        <w:tc>
          <w:tcPr>
            <w:tcW w:type="dxa" w:w="2592"/>
            <w:shd w:fill="F5F5FA" w:val="clear"/>
          </w:tcPr>
          <w:p>
            <w:r>
              <w:rPr>
                <w:rFonts w:ascii="Calibri" w:hAnsi="Calibri"/>
                <w:sz w:val="20"/>
              </w:rPr>
              <w:t>Vision Center, 2025</w:t>
            </w:r>
          </w:p>
        </w:tc>
      </w:tr>
      <w:tr>
        <w:tc>
          <w:tcPr>
            <w:tcW w:type="dxa" w:w="2880"/>
          </w:tcPr>
          <w:p>
            <w:r>
              <w:rPr>
                <w:rFonts w:ascii="Calibri" w:hAnsi="Calibri"/>
                <w:sz w:val="20"/>
              </w:rPr>
              <w:t>"Digital detox" searches</w:t>
            </w:r>
          </w:p>
        </w:tc>
        <w:tc>
          <w:tcPr>
            <w:tcW w:type="dxa" w:w="3168"/>
          </w:tcPr>
          <w:p>
            <w:r>
              <w:rPr>
                <w:rFonts w:ascii="Calibri" w:hAnsi="Calibri"/>
                <w:sz w:val="20"/>
              </w:rPr>
              <w:t>Tripled in 2024 vs. 2023</w:t>
            </w:r>
          </w:p>
        </w:tc>
        <w:tc>
          <w:tcPr>
            <w:tcW w:type="dxa" w:w="2592"/>
          </w:tcPr>
          <w:p>
            <w:r>
              <w:rPr>
                <w:rFonts w:ascii="Calibri" w:hAnsi="Calibri"/>
                <w:sz w:val="20"/>
              </w:rPr>
              <w:t>ElectroIQ, 2025</w:t>
            </w:r>
          </w:p>
        </w:tc>
      </w:tr>
      <w:tr>
        <w:tc>
          <w:tcPr>
            <w:tcW w:type="dxa" w:w="2880"/>
            <w:shd w:fill="F5F5FA" w:val="clear"/>
          </w:tcPr>
          <w:p>
            <w:r>
              <w:rPr>
                <w:rFonts w:ascii="Calibri" w:hAnsi="Calibri"/>
                <w:sz w:val="20"/>
              </w:rPr>
              <w:t>Feel overburdened by phones (18-24)</w:t>
            </w:r>
          </w:p>
        </w:tc>
        <w:tc>
          <w:tcPr>
            <w:tcW w:type="dxa" w:w="3168"/>
            <w:shd w:fill="F5F5FA" w:val="clear"/>
          </w:tcPr>
          <w:p>
            <w:r>
              <w:rPr>
                <w:rFonts w:ascii="Calibri" w:hAnsi="Calibri"/>
                <w:sz w:val="20"/>
              </w:rPr>
              <w:t>84% of German users</w:t>
            </w:r>
          </w:p>
        </w:tc>
        <w:tc>
          <w:tcPr>
            <w:tcW w:type="dxa" w:w="2592"/>
            <w:shd w:fill="F5F5FA" w:val="clear"/>
          </w:tcPr>
          <w:p>
            <w:r>
              <w:rPr>
                <w:rFonts w:ascii="Calibri" w:hAnsi="Calibri"/>
                <w:sz w:val="20"/>
              </w:rPr>
              <w:t>Skillademia, 2025</w:t>
            </w:r>
          </w:p>
        </w:tc>
      </w:tr>
    </w:tbl>
    <w:p/>
    <w:p>
      <w:pPr>
        <w:pStyle w:val="Heading2"/>
      </w:pPr>
      <w:r>
        <w:t>4.3 The Response: A Measurable Shift to IRL</w:t>
      </w:r>
    </w:p>
    <w:p>
      <w:r>
        <w:rPr>
          <w:b/>
        </w:rPr>
        <w:t xml:space="preserve">Eventbrite's "Reset to Real" report (January 2026) </w:t>
      </w:r>
      <w:r>
        <w:t>surveyed young adults 18-35 and found:</w:t>
      </w:r>
    </w:p>
    <w:p>
      <w:pPr>
        <w:pStyle w:val="ListBullet"/>
      </w:pPr>
      <w:r>
        <w:rPr>
          <w:rFonts w:ascii="Calibri" w:hAnsi="Calibri"/>
          <w:sz w:val="22"/>
        </w:rPr>
        <w:t>79% plan to attend more events in 2026</w:t>
      </w:r>
    </w:p>
    <w:p>
      <w:pPr>
        <w:pStyle w:val="ListBullet"/>
      </w:pPr>
      <w:r>
        <w:rPr>
          <w:rFonts w:ascii="Calibri" w:hAnsi="Calibri"/>
          <w:sz w:val="22"/>
        </w:rPr>
        <w:t>74% believe in-person experiences are more important than digital ones</w:t>
      </w:r>
    </w:p>
    <w:p>
      <w:pPr>
        <w:pStyle w:val="ListBullet"/>
      </w:pPr>
      <w:r>
        <w:rPr>
          <w:rFonts w:ascii="Calibri" w:hAnsi="Calibri"/>
          <w:sz w:val="22"/>
        </w:rPr>
        <w:t>46% of Gen Z is actively limiting screen time</w:t>
      </w:r>
    </w:p>
    <w:p>
      <w:pPr>
        <w:pStyle w:val="ListBullet"/>
      </w:pPr>
      <w:r>
        <w:rPr>
          <w:rFonts w:ascii="Calibri" w:hAnsi="Calibri"/>
          <w:sz w:val="22"/>
        </w:rPr>
        <w:t>49% want events that feel "less curated and more real"</w:t>
      </w:r>
    </w:p>
    <w:p>
      <w:pPr>
        <w:pStyle w:val="ListBullet"/>
      </w:pPr>
      <w:r>
        <w:rPr>
          <w:rFonts w:ascii="Calibri" w:hAnsi="Calibri"/>
          <w:sz w:val="22"/>
        </w:rPr>
        <w:t>$30 tickets are the sweet spot for budget-conscious attendees</w:t>
      </w:r>
    </w:p>
    <w:p>
      <w:r>
        <w:t>Hinge invested $1 million in 40 social groups across Atlanta, Los Angeles, and New York in 2024, specifically to fund free or affordable IRL events for young people. The program expanded to London in 2025. Dating apps are pivoting to in-person events because their core users (Gen Z) struggle to build connections digitally (CNBC, March 2025).</w:t>
      </w:r>
    </w:p>
    <w:p>
      <w:r>
        <w:t>Nearly half of new retail tenants in 300+ North American shopping centers are now experiential or service-based: fitness studios, entertainment venues, co-working spaces (ICSC, 2025). The physical built environment is reorganizing around the demand for gathering.</w:t>
      </w:r>
    </w:p>
    <w:p>
      <w:r>
        <w:br w:type="page"/>
      </w:r>
    </w:p>
    <w:p>
      <w:pPr>
        <w:pStyle w:val="Heading1"/>
      </w:pPr>
      <w:r>
        <w:t>5. Generational Analysis</w:t>
      </w:r>
    </w:p>
    <w:p>
      <w:pPr>
        <w:pStyle w:val="Heading2"/>
      </w:pPr>
      <w:r>
        <w:t>5.1 Gen Z (Born 1997-2012): The Experience-First Generation</w:t>
      </w:r>
    </w:p>
    <w:p>
      <w:pPr>
        <w:pStyle w:val="Heading3"/>
      </w:pPr>
      <w:r>
        <w:t>Economic Scale</w:t>
      </w:r>
    </w:p>
    <w:p>
      <w:r>
        <w:t>Gen Z's global spending was $2.7 trillion in 2024. Bank of America projects it will reach $12.6 trillion by 2030. Their total income is projected to hit $36 trillion in approximately five years and $74 trillion by 2040 (Bank of America Institute, March 2025). Gen Z spending growth on both necessary and discretionary items has been faster than the overall population.</w:t>
      </w:r>
    </w:p>
    <w:p>
      <w:pPr>
        <w:pStyle w:val="Heading3"/>
      </w:pPr>
      <w:r>
        <w:t>Event Spending Behavior</w:t>
      </w:r>
    </w:p>
    <w:p>
      <w:r>
        <w:t>A MERGE study of 1,000 Gen Z consumers (July 2024) found that 85.8% exceeded their budget when attending events. 64% made purchases because of event advertising. Food and beverage (41.3%) and apparel/accessories (33.7%) are the top spending categories at events. The most popular event categories: professional sports and music festivals. A small but significant segment reports $5,000+ annual event spending.</w:t>
      </w:r>
    </w:p>
    <w:p>
      <w:pPr>
        <w:pStyle w:val="Heading3"/>
      </w:pPr>
      <w:r>
        <w:t>Financial Tension</w:t>
      </w:r>
    </w:p>
    <w:p>
      <w:r>
        <w:t>Gen Z is enthusiastic about experiences but financially constrained. 52% report not making enough money to live the life they want (Bank of America Better Money Habits, 2024). 29% are considering cutting events and outings spending (PwC, 2025). Gen Z cut overall spending by 13% between January and April 2025. The generation spends nearly twice as much as it saves (Bank of America, 2025). Price sensitivity is real: $30 is the ticket price sweet spot.</w:t>
      </w:r>
    </w:p>
    <w:p>
      <w:pPr>
        <w:pStyle w:val="Heading3"/>
      </w:pPr>
      <w:r>
        <w:t>Discovery Patterns</w:t>
      </w:r>
    </w:p>
    <w:p>
      <w:r>
        <w:t>Gen Z does not search Google for events. They discover through algorithms and social feeds: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A1A2E" w:val="clear"/>
          </w:tcPr>
          <w:p>
            <w:pPr>
              <w:jc w:val="left"/>
            </w:pPr>
            <w:r>
              <w:rPr>
                <w:rFonts w:ascii="Calibri" w:hAnsi="Calibri"/>
                <w:b/>
                <w:color w:val="FFFFFF"/>
                <w:sz w:val="20"/>
              </w:rPr>
              <w:t>Channel</w:t>
            </w:r>
          </w:p>
        </w:tc>
        <w:tc>
          <w:tcPr>
            <w:tcW w:type="dxa" w:w="2592"/>
            <w:shd w:fill="1A1A2E" w:val="clear"/>
          </w:tcPr>
          <w:p>
            <w:pPr>
              <w:jc w:val="left"/>
            </w:pPr>
            <w:r>
              <w:rPr>
                <w:rFonts w:ascii="Calibri" w:hAnsi="Calibri"/>
                <w:b/>
                <w:color w:val="FFFFFF"/>
                <w:sz w:val="20"/>
              </w:rPr>
              <w:t>Statistic</w:t>
            </w:r>
          </w:p>
        </w:tc>
        <w:tc>
          <w:tcPr>
            <w:tcW w:type="dxa" w:w="2880"/>
            <w:shd w:fill="1A1A2E" w:val="clear"/>
          </w:tcPr>
          <w:p>
            <w:pPr>
              <w:jc w:val="left"/>
            </w:pPr>
            <w:r>
              <w:rPr>
                <w:rFonts w:ascii="Calibri" w:hAnsi="Calibri"/>
                <w:b/>
                <w:color w:val="FFFFFF"/>
                <w:sz w:val="20"/>
              </w:rPr>
              <w:t>Source</w:t>
            </w:r>
          </w:p>
        </w:tc>
      </w:tr>
      <w:tr>
        <w:tc>
          <w:tcPr>
            <w:tcW w:type="dxa" w:w="3168"/>
            <w:shd w:fill="F5F5FA" w:val="clear"/>
          </w:tcPr>
          <w:p>
            <w:r>
              <w:rPr>
                <w:rFonts w:ascii="Calibri" w:hAnsi="Calibri"/>
                <w:sz w:val="20"/>
              </w:rPr>
              <w:t>TikTok for search/discovery</w:t>
            </w:r>
          </w:p>
        </w:tc>
        <w:tc>
          <w:tcPr>
            <w:tcW w:type="dxa" w:w="2592"/>
            <w:shd w:fill="F5F5FA" w:val="clear"/>
          </w:tcPr>
          <w:p>
            <w:r>
              <w:rPr>
                <w:rFonts w:ascii="Calibri" w:hAnsi="Calibri"/>
                <w:sz w:val="20"/>
              </w:rPr>
              <w:t>34% of Gen Z</w:t>
            </w:r>
          </w:p>
        </w:tc>
        <w:tc>
          <w:tcPr>
            <w:tcW w:type="dxa" w:w="2880"/>
            <w:shd w:fill="F5F5FA" w:val="clear"/>
          </w:tcPr>
          <w:p>
            <w:r>
              <w:rPr>
                <w:rFonts w:ascii="Calibri" w:hAnsi="Calibri"/>
                <w:sz w:val="20"/>
              </w:rPr>
              <w:t>Soci.ai, 2025</w:t>
            </w:r>
          </w:p>
        </w:tc>
      </w:tr>
      <w:tr>
        <w:tc>
          <w:tcPr>
            <w:tcW w:type="dxa" w:w="3168"/>
          </w:tcPr>
          <w:p>
            <w:r>
              <w:rPr>
                <w:rFonts w:ascii="Calibri" w:hAnsi="Calibri"/>
                <w:sz w:val="20"/>
              </w:rPr>
              <w:t>TikTok for music discovery</w:t>
            </w:r>
          </w:p>
        </w:tc>
        <w:tc>
          <w:tcPr>
            <w:tcW w:type="dxa" w:w="2592"/>
          </w:tcPr>
          <w:p>
            <w:r>
              <w:rPr>
                <w:rFonts w:ascii="Calibri" w:hAnsi="Calibri"/>
                <w:sz w:val="20"/>
              </w:rPr>
              <w:t>51% of 16-24 year olds</w:t>
            </w:r>
          </w:p>
        </w:tc>
        <w:tc>
          <w:tcPr>
            <w:tcW w:type="dxa" w:w="2880"/>
          </w:tcPr>
          <w:p>
            <w:r>
              <w:rPr>
                <w:rFonts w:ascii="Calibri" w:hAnsi="Calibri"/>
                <w:sz w:val="20"/>
              </w:rPr>
              <w:t>MiDiA Research</w:t>
            </w:r>
          </w:p>
        </w:tc>
      </w:tr>
      <w:tr>
        <w:tc>
          <w:tcPr>
            <w:tcW w:type="dxa" w:w="3168"/>
            <w:shd w:fill="F5F5FA" w:val="clear"/>
          </w:tcPr>
          <w:p>
            <w:r>
              <w:rPr>
                <w:rFonts w:ascii="Calibri" w:hAnsi="Calibri"/>
                <w:sz w:val="20"/>
              </w:rPr>
              <w:t>Video over written reviews</w:t>
            </w:r>
          </w:p>
        </w:tc>
        <w:tc>
          <w:tcPr>
            <w:tcW w:type="dxa" w:w="2592"/>
            <w:shd w:fill="F5F5FA" w:val="clear"/>
          </w:tcPr>
          <w:p>
            <w:r>
              <w:rPr>
                <w:rFonts w:ascii="Calibri" w:hAnsi="Calibri"/>
                <w:sz w:val="20"/>
              </w:rPr>
              <w:t>40% prefer video</w:t>
            </w:r>
          </w:p>
        </w:tc>
        <w:tc>
          <w:tcPr>
            <w:tcW w:type="dxa" w:w="2880"/>
            <w:shd w:fill="F5F5FA" w:val="clear"/>
          </w:tcPr>
          <w:p>
            <w:r>
              <w:rPr>
                <w:rFonts w:ascii="Calibri" w:hAnsi="Calibri"/>
                <w:sz w:val="20"/>
              </w:rPr>
              <w:t>Soci.ai, 2025</w:t>
            </w:r>
          </w:p>
        </w:tc>
      </w:tr>
      <w:tr>
        <w:tc>
          <w:tcPr>
            <w:tcW w:type="dxa" w:w="3168"/>
          </w:tcPr>
          <w:p>
            <w:r>
              <w:rPr>
                <w:rFonts w:ascii="Calibri" w:hAnsi="Calibri"/>
                <w:sz w:val="20"/>
              </w:rPr>
              <w:t>Instagram for product discovery</w:t>
            </w:r>
          </w:p>
        </w:tc>
        <w:tc>
          <w:tcPr>
            <w:tcW w:type="dxa" w:w="2592"/>
          </w:tcPr>
          <w:p>
            <w:r>
              <w:rPr>
                <w:rFonts w:ascii="Calibri" w:hAnsi="Calibri"/>
                <w:sz w:val="20"/>
              </w:rPr>
              <w:t>30.4% of Gen Z</w:t>
            </w:r>
          </w:p>
        </w:tc>
        <w:tc>
          <w:tcPr>
            <w:tcW w:type="dxa" w:w="2880"/>
          </w:tcPr>
          <w:p>
            <w:r>
              <w:rPr>
                <w:rFonts w:ascii="Calibri" w:hAnsi="Calibri"/>
                <w:sz w:val="20"/>
              </w:rPr>
              <w:t>eMarketer</w:t>
            </w:r>
          </w:p>
        </w:tc>
      </w:tr>
      <w:tr>
        <w:tc>
          <w:tcPr>
            <w:tcW w:type="dxa" w:w="3168"/>
            <w:shd w:fill="F5F5FA" w:val="clear"/>
          </w:tcPr>
          <w:p>
            <w:r>
              <w:rPr>
                <w:rFonts w:ascii="Calibri" w:hAnsi="Calibri"/>
                <w:sz w:val="20"/>
              </w:rPr>
              <w:t>TikTok for product discovery</w:t>
            </w:r>
          </w:p>
        </w:tc>
        <w:tc>
          <w:tcPr>
            <w:tcW w:type="dxa" w:w="2592"/>
            <w:shd w:fill="F5F5FA" w:val="clear"/>
          </w:tcPr>
          <w:p>
            <w:r>
              <w:rPr>
                <w:rFonts w:ascii="Calibri" w:hAnsi="Calibri"/>
                <w:sz w:val="20"/>
              </w:rPr>
              <w:t>23.2% of Gen Z</w:t>
            </w:r>
          </w:p>
        </w:tc>
        <w:tc>
          <w:tcPr>
            <w:tcW w:type="dxa" w:w="2880"/>
            <w:shd w:fill="F5F5FA" w:val="clear"/>
          </w:tcPr>
          <w:p>
            <w:r>
              <w:rPr>
                <w:rFonts w:ascii="Calibri" w:hAnsi="Calibri"/>
                <w:sz w:val="20"/>
              </w:rPr>
              <w:t>eMarketer</w:t>
            </w:r>
          </w:p>
        </w:tc>
      </w:tr>
    </w:tbl>
    <w:p/>
    <w:p>
      <w:r>
        <w:t>User-generated content from attendees influences Gen Z more than influencer content for event engagement (MDPI, 2025). Their path to a ticket purchase runs through short-form video, algorithmic feeds, and peer social proof, not through email newsletters or SEO results.</w:t>
      </w:r>
    </w:p>
    <w:p>
      <w:pPr>
        <w:pStyle w:val="Heading2"/>
      </w:pPr>
      <w:r>
        <w:t>5.2 Gen X (Born 1965-1980): The Quiet Powerhouse</w:t>
      </w:r>
    </w:p>
    <w:p>
      <w:pPr>
        <w:pStyle w:val="Heading3"/>
      </w:pPr>
      <w:r>
        <w:t>Economic Scale</w:t>
      </w:r>
    </w:p>
    <w:tbl>
      <w:tblPr>
        <w:tblStyle w:val="TableGrid"/>
        <w:tblW w:type="auto" w:w="0"/>
        <w:jc w:val="center"/>
        <w:tblLook w:firstColumn="1" w:firstRow="1" w:lastColumn="0" w:lastRow="0" w:noHBand="0" w:noVBand="1" w:val="04A0"/>
      </w:tblPr>
      <w:tblGrid>
        <w:gridCol w:w="4680"/>
        <w:gridCol w:w="4680"/>
      </w:tblGrid>
      <w:tr>
        <w:tc>
          <w:tcPr>
            <w:tcW w:type="dxa" w:w="3600"/>
            <w:shd w:fill="1A1A2E" w:val="clear"/>
          </w:tcPr>
          <w:p>
            <w:pPr>
              <w:jc w:val="left"/>
            </w:pPr>
            <w:r>
              <w:rPr>
                <w:rFonts w:ascii="Calibri" w:hAnsi="Calibri"/>
                <w:b/>
                <w:color w:val="FFFFFF"/>
                <w:sz w:val="20"/>
              </w:rPr>
              <w:t>Metric</w:t>
            </w:r>
          </w:p>
        </w:tc>
        <w:tc>
          <w:tcPr>
            <w:tcW w:type="dxa" w:w="5040"/>
            <w:shd w:fill="1A1A2E" w:val="clear"/>
          </w:tcPr>
          <w:p>
            <w:pPr>
              <w:jc w:val="left"/>
            </w:pPr>
            <w:r>
              <w:rPr>
                <w:rFonts w:ascii="Calibri" w:hAnsi="Calibri"/>
                <w:b/>
                <w:color w:val="FFFFFF"/>
                <w:sz w:val="20"/>
              </w:rPr>
              <w:t>Data Point</w:t>
            </w:r>
          </w:p>
        </w:tc>
      </w:tr>
      <w:tr>
        <w:tc>
          <w:tcPr>
            <w:tcW w:type="dxa" w:w="3600"/>
            <w:shd w:fill="F5F5FA" w:val="clear"/>
          </w:tcPr>
          <w:p>
            <w:r>
              <w:rPr>
                <w:rFonts w:ascii="Calibri" w:hAnsi="Calibri"/>
                <w:sz w:val="20"/>
              </w:rPr>
              <w:t>Share of global spending power</w:t>
            </w:r>
          </w:p>
        </w:tc>
        <w:tc>
          <w:tcPr>
            <w:tcW w:type="dxa" w:w="5040"/>
            <w:shd w:fill="F5F5FA" w:val="clear"/>
          </w:tcPr>
          <w:p>
            <w:r>
              <w:rPr>
                <w:rFonts w:ascii="Calibri" w:hAnsi="Calibri"/>
                <w:sz w:val="20"/>
              </w:rPr>
              <w:t>23.5% (largest of any generation)</w:t>
            </w:r>
          </w:p>
        </w:tc>
      </w:tr>
      <w:tr>
        <w:tc>
          <w:tcPr>
            <w:tcW w:type="dxa" w:w="3600"/>
          </w:tcPr>
          <w:p>
            <w:r>
              <w:rPr>
                <w:rFonts w:ascii="Calibri" w:hAnsi="Calibri"/>
                <w:sz w:val="20"/>
              </w:rPr>
              <w:t>Projected spending 2025</w:t>
            </w:r>
          </w:p>
        </w:tc>
        <w:tc>
          <w:tcPr>
            <w:tcW w:type="dxa" w:w="5040"/>
          </w:tcPr>
          <w:p>
            <w:r>
              <w:rPr>
                <w:rFonts w:ascii="Calibri" w:hAnsi="Calibri"/>
                <w:sz w:val="20"/>
              </w:rPr>
              <w:t>$15.2 trillion</w:t>
            </w:r>
          </w:p>
        </w:tc>
      </w:tr>
      <w:tr>
        <w:tc>
          <w:tcPr>
            <w:tcW w:type="dxa" w:w="3600"/>
            <w:shd w:fill="F5F5FA" w:val="clear"/>
          </w:tcPr>
          <w:p>
            <w:r>
              <w:rPr>
                <w:rFonts w:ascii="Calibri" w:hAnsi="Calibri"/>
                <w:sz w:val="20"/>
              </w:rPr>
              <w:t>Projected spending through 2033</w:t>
            </w:r>
          </w:p>
        </w:tc>
        <w:tc>
          <w:tcPr>
            <w:tcW w:type="dxa" w:w="5040"/>
            <w:shd w:fill="F5F5FA" w:val="clear"/>
          </w:tcPr>
          <w:p>
            <w:r>
              <w:rPr>
                <w:rFonts w:ascii="Calibri" w:hAnsi="Calibri"/>
                <w:sz w:val="20"/>
              </w:rPr>
              <w:t>$20+ trillion (peak)</w:t>
            </w:r>
          </w:p>
        </w:tc>
      </w:tr>
      <w:tr>
        <w:tc>
          <w:tcPr>
            <w:tcW w:type="dxa" w:w="3600"/>
          </w:tcPr>
          <w:p>
            <w:r>
              <w:rPr>
                <w:rFonts w:ascii="Calibri" w:hAnsi="Calibri"/>
                <w:sz w:val="20"/>
              </w:rPr>
              <w:t>Projected spending by 2035</w:t>
            </w:r>
          </w:p>
        </w:tc>
        <w:tc>
          <w:tcPr>
            <w:tcW w:type="dxa" w:w="5040"/>
          </w:tcPr>
          <w:p>
            <w:r>
              <w:rPr>
                <w:rFonts w:ascii="Calibri" w:hAnsi="Calibri"/>
                <w:sz w:val="20"/>
              </w:rPr>
              <w:t>$23 trillion</w:t>
            </w:r>
          </w:p>
        </w:tc>
      </w:tr>
      <w:tr>
        <w:tc>
          <w:tcPr>
            <w:tcW w:type="dxa" w:w="3600"/>
            <w:shd w:fill="F5F5FA" w:val="clear"/>
          </w:tcPr>
          <w:p>
            <w:r>
              <w:rPr>
                <w:rFonts w:ascii="Calibri" w:hAnsi="Calibri"/>
                <w:sz w:val="20"/>
              </w:rPr>
              <w:t>Average US annual expenditure</w:t>
            </w:r>
          </w:p>
        </w:tc>
        <w:tc>
          <w:tcPr>
            <w:tcW w:type="dxa" w:w="5040"/>
            <w:shd w:fill="F5F5FA" w:val="clear"/>
          </w:tcPr>
          <w:p>
            <w:r>
              <w:rPr>
                <w:rFonts w:ascii="Calibri" w:hAnsi="Calibri"/>
                <w:sz w:val="20"/>
              </w:rPr>
              <w:t>$83,357 (highest of any generation)</w:t>
            </w:r>
          </w:p>
        </w:tc>
      </w:tr>
      <w:tr>
        <w:tc>
          <w:tcPr>
            <w:tcW w:type="dxa" w:w="3600"/>
          </w:tcPr>
          <w:p>
            <w:r>
              <w:rPr>
                <w:rFonts w:ascii="Calibri" w:hAnsi="Calibri"/>
                <w:sz w:val="20"/>
              </w:rPr>
              <w:t>US households led by Gen X</w:t>
            </w:r>
          </w:p>
        </w:tc>
        <w:tc>
          <w:tcPr>
            <w:tcW w:type="dxa" w:w="5040"/>
          </w:tcPr>
          <w:p>
            <w:r>
              <w:rPr>
                <w:rFonts w:ascii="Calibri" w:hAnsi="Calibri"/>
                <w:sz w:val="20"/>
              </w:rPr>
              <w:t>One-third of all</w:t>
            </w:r>
          </w:p>
        </w:tc>
      </w:tr>
      <w:tr>
        <w:tc>
          <w:tcPr>
            <w:tcW w:type="dxa" w:w="3600"/>
            <w:shd w:fill="F5F5FA" w:val="clear"/>
          </w:tcPr>
          <w:p>
            <w:r>
              <w:rPr>
                <w:rFonts w:ascii="Calibri" w:hAnsi="Calibri"/>
                <w:sz w:val="20"/>
              </w:rPr>
              <w:t>Global population</w:t>
            </w:r>
          </w:p>
        </w:tc>
        <w:tc>
          <w:tcPr>
            <w:tcW w:type="dxa" w:w="5040"/>
            <w:shd w:fill="F5F5FA" w:val="clear"/>
          </w:tcPr>
          <w:p>
            <w:r>
              <w:rPr>
                <w:rFonts w:ascii="Calibri" w:hAnsi="Calibri"/>
                <w:sz w:val="20"/>
              </w:rPr>
              <w:t>1.4 billion (17% of world population)</w:t>
            </w:r>
          </w:p>
        </w:tc>
      </w:tr>
    </w:tbl>
    <w:p/>
    <w:p>
      <w:r>
        <w:rPr>
          <w:i/>
          <w:color w:val="999999"/>
          <w:sz w:val="18"/>
        </w:rPr>
        <w:t>Source: NielsenIQ, "The X Factor" Report, 2025</w:t>
      </w:r>
    </w:p>
    <w:p>
      <w:pPr>
        <w:pStyle w:val="Heading3"/>
      </w:pPr>
      <w:r>
        <w:t>Spending Psychology</w:t>
      </w:r>
    </w:p>
    <w:p>
      <w:r>
        <w:t>Gen X is in its peak earning years (ages 45-60 in 2025) but also the "sandwich generation," supporting children (average ages 17-30) and aging parents simultaneously. 51% report financial stress "fairly or very often." Despite these pressures, Gen X spends heavily on experiences when they do spend. They are less likely than Millennials and Gen Z to splurge, but they prioritize reliability, functionality, and clear value propositions. Brand loyalty is earned through positive experiences and consistency, not influencer hype.</w:t>
      </w:r>
    </w:p>
    <w:p>
      <w:r>
        <w:t>Gen X accounts for 26% of global alcoholic beverage spending, one-quarter of beauty spending, and 20% of food and non-alcoholic beverage spending (NielsenIQ, 2025). These categories overlap heavily with event experiences: wine tastings, food festivals, culinary events, and wellness retreats.</w:t>
      </w:r>
    </w:p>
    <w:p>
      <w:pPr>
        <w:pStyle w:val="Heading2"/>
      </w:pPr>
      <w:r>
        <w:t>5.3 The Generational Handoff</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Pr>
                <w:rFonts w:ascii="Calibri" w:hAnsi="Calibri"/>
                <w:b/>
                <w:color w:val="FFFFFF"/>
                <w:sz w:val="20"/>
              </w:rPr>
              <w:t>Dimension</w:t>
            </w:r>
          </w:p>
        </w:tc>
        <w:tc>
          <w:tcPr>
            <w:tcW w:type="dxa" w:w="3240"/>
            <w:shd w:fill="1A1A2E" w:val="clear"/>
          </w:tcPr>
          <w:p>
            <w:pPr>
              <w:jc w:val="left"/>
            </w:pPr>
            <w:r>
              <w:rPr>
                <w:rFonts w:ascii="Calibri" w:hAnsi="Calibri"/>
                <w:b/>
                <w:color w:val="FFFFFF"/>
                <w:sz w:val="20"/>
              </w:rPr>
              <w:t>Gen Z</w:t>
            </w:r>
          </w:p>
        </w:tc>
        <w:tc>
          <w:tcPr>
            <w:tcW w:type="dxa" w:w="3240"/>
            <w:shd w:fill="1A1A2E" w:val="clear"/>
          </w:tcPr>
          <w:p>
            <w:pPr>
              <w:jc w:val="left"/>
            </w:pPr>
            <w:r>
              <w:rPr>
                <w:rFonts w:ascii="Calibri" w:hAnsi="Calibri"/>
                <w:b/>
                <w:color w:val="FFFFFF"/>
                <w:sz w:val="20"/>
              </w:rPr>
              <w:t>Gen X</w:t>
            </w:r>
          </w:p>
        </w:tc>
      </w:tr>
      <w:tr>
        <w:tc>
          <w:tcPr>
            <w:tcW w:type="dxa" w:w="2160"/>
            <w:shd w:fill="F5F5FA" w:val="clear"/>
          </w:tcPr>
          <w:p>
            <w:r>
              <w:rPr>
                <w:rFonts w:ascii="Calibri" w:hAnsi="Calibri"/>
                <w:sz w:val="20"/>
              </w:rPr>
              <w:t>Primary motivation</w:t>
            </w:r>
          </w:p>
        </w:tc>
        <w:tc>
          <w:tcPr>
            <w:tcW w:type="dxa" w:w="3240"/>
            <w:shd w:fill="F5F5FA" w:val="clear"/>
          </w:tcPr>
          <w:p>
            <w:r>
              <w:rPr>
                <w:rFonts w:ascii="Calibri" w:hAnsi="Calibri"/>
                <w:sz w:val="20"/>
              </w:rPr>
              <w:t>Social connection, FOMO, community</w:t>
            </w:r>
          </w:p>
        </w:tc>
        <w:tc>
          <w:tcPr>
            <w:tcW w:type="dxa" w:w="3240"/>
            <w:shd w:fill="F5F5FA" w:val="clear"/>
          </w:tcPr>
          <w:p>
            <w:r>
              <w:rPr>
                <w:rFonts w:ascii="Calibri" w:hAnsi="Calibri"/>
                <w:sz w:val="20"/>
              </w:rPr>
              <w:t>Quality experience, enrichment, family</w:t>
            </w:r>
          </w:p>
        </w:tc>
      </w:tr>
      <w:tr>
        <w:tc>
          <w:tcPr>
            <w:tcW w:type="dxa" w:w="2160"/>
          </w:tcPr>
          <w:p>
            <w:r>
              <w:rPr>
                <w:rFonts w:ascii="Calibri" w:hAnsi="Calibri"/>
                <w:sz w:val="20"/>
              </w:rPr>
              <w:t>Discovery channel</w:t>
            </w:r>
          </w:p>
        </w:tc>
        <w:tc>
          <w:tcPr>
            <w:tcW w:type="dxa" w:w="3240"/>
          </w:tcPr>
          <w:p>
            <w:r>
              <w:rPr>
                <w:rFonts w:ascii="Calibri" w:hAnsi="Calibri"/>
                <w:sz w:val="20"/>
              </w:rPr>
              <w:t>TikTok, Instagram, peer UGC</w:t>
            </w:r>
          </w:p>
        </w:tc>
        <w:tc>
          <w:tcPr>
            <w:tcW w:type="dxa" w:w="3240"/>
          </w:tcPr>
          <w:p>
            <w:r>
              <w:rPr>
                <w:rFonts w:ascii="Calibri" w:hAnsi="Calibri"/>
                <w:sz w:val="20"/>
              </w:rPr>
              <w:t>Email, Facebook, Google, word of mouth</w:t>
            </w:r>
          </w:p>
        </w:tc>
      </w:tr>
      <w:tr>
        <w:tc>
          <w:tcPr>
            <w:tcW w:type="dxa" w:w="2160"/>
            <w:shd w:fill="F5F5FA" w:val="clear"/>
          </w:tcPr>
          <w:p>
            <w:r>
              <w:rPr>
                <w:rFonts w:ascii="Calibri" w:hAnsi="Calibri"/>
                <w:sz w:val="20"/>
              </w:rPr>
              <w:t>Price sensitivity</w:t>
            </w:r>
          </w:p>
        </w:tc>
        <w:tc>
          <w:tcPr>
            <w:tcW w:type="dxa" w:w="3240"/>
            <w:shd w:fill="F5F5FA" w:val="clear"/>
          </w:tcPr>
          <w:p>
            <w:r>
              <w:rPr>
                <w:rFonts w:ascii="Calibri" w:hAnsi="Calibri"/>
                <w:sz w:val="20"/>
              </w:rPr>
              <w:t>High. $30 sweet spot. 79% wait for sales</w:t>
            </w:r>
          </w:p>
        </w:tc>
        <w:tc>
          <w:tcPr>
            <w:tcW w:type="dxa" w:w="3240"/>
            <w:shd w:fill="F5F5FA" w:val="clear"/>
          </w:tcPr>
          <w:p>
            <w:r>
              <w:rPr>
                <w:rFonts w:ascii="Calibri" w:hAnsi="Calibri"/>
                <w:sz w:val="20"/>
              </w:rPr>
              <w:t>Lower. Premiums OK for quality.</w:t>
            </w:r>
          </w:p>
        </w:tc>
      </w:tr>
      <w:tr>
        <w:tc>
          <w:tcPr>
            <w:tcW w:type="dxa" w:w="2160"/>
          </w:tcPr>
          <w:p>
            <w:r>
              <w:rPr>
                <w:rFonts w:ascii="Calibri" w:hAnsi="Calibri"/>
                <w:sz w:val="20"/>
              </w:rPr>
              <w:t>Event preference</w:t>
            </w:r>
          </w:p>
        </w:tc>
        <w:tc>
          <w:tcPr>
            <w:tcW w:type="dxa" w:w="3240"/>
          </w:tcPr>
          <w:p>
            <w:r>
              <w:rPr>
                <w:rFonts w:ascii="Calibri" w:hAnsi="Calibri"/>
                <w:sz w:val="20"/>
              </w:rPr>
              <w:t>Intimate, niche, "fourth spaces"</w:t>
            </w:r>
          </w:p>
        </w:tc>
        <w:tc>
          <w:tcPr>
            <w:tcW w:type="dxa" w:w="3240"/>
          </w:tcPr>
          <w:p>
            <w:r>
              <w:rPr>
                <w:rFonts w:ascii="Calibri" w:hAnsi="Calibri"/>
                <w:sz w:val="20"/>
              </w:rPr>
              <w:t>Premium, multi-day, conferences, travel</w:t>
            </w:r>
          </w:p>
        </w:tc>
      </w:tr>
      <w:tr>
        <w:tc>
          <w:tcPr>
            <w:tcW w:type="dxa" w:w="2160"/>
            <w:shd w:fill="F5F5FA" w:val="clear"/>
          </w:tcPr>
          <w:p>
            <w:r>
              <w:rPr>
                <w:rFonts w:ascii="Calibri" w:hAnsi="Calibri"/>
                <w:sz w:val="20"/>
              </w:rPr>
              <w:t>Spending trajectory</w:t>
            </w:r>
          </w:p>
        </w:tc>
        <w:tc>
          <w:tcPr>
            <w:tcW w:type="dxa" w:w="3240"/>
            <w:shd w:fill="F5F5FA" w:val="clear"/>
          </w:tcPr>
          <w:p>
            <w:r>
              <w:rPr>
                <w:rFonts w:ascii="Calibri" w:hAnsi="Calibri"/>
                <w:sz w:val="20"/>
              </w:rPr>
              <w:t>$2.7T (2024) to $12.6T (2030)</w:t>
            </w:r>
          </w:p>
        </w:tc>
        <w:tc>
          <w:tcPr>
            <w:tcW w:type="dxa" w:w="3240"/>
            <w:shd w:fill="F5F5FA" w:val="clear"/>
          </w:tcPr>
          <w:p>
            <w:r>
              <w:rPr>
                <w:rFonts w:ascii="Calibri" w:hAnsi="Calibri"/>
                <w:sz w:val="20"/>
              </w:rPr>
              <w:t>$15.2T (2025), peaking by 2033</w:t>
            </w:r>
          </w:p>
        </w:tc>
      </w:tr>
      <w:tr>
        <w:tc>
          <w:tcPr>
            <w:tcW w:type="dxa" w:w="2160"/>
          </w:tcPr>
          <w:p>
            <w:r>
              <w:rPr>
                <w:rFonts w:ascii="Calibri" w:hAnsi="Calibri"/>
                <w:sz w:val="20"/>
              </w:rPr>
              <w:t>Platform behavior</w:t>
            </w:r>
          </w:p>
        </w:tc>
        <w:tc>
          <w:tcPr>
            <w:tcW w:type="dxa" w:w="3240"/>
          </w:tcPr>
          <w:p>
            <w:r>
              <w:rPr>
                <w:rFonts w:ascii="Calibri" w:hAnsi="Calibri"/>
                <w:sz w:val="20"/>
              </w:rPr>
              <w:t>Mobile-first. Social features.</w:t>
            </w:r>
          </w:p>
        </w:tc>
        <w:tc>
          <w:tcPr>
            <w:tcW w:type="dxa" w:w="3240"/>
          </w:tcPr>
          <w:p>
            <w:r>
              <w:rPr>
                <w:rFonts w:ascii="Calibri" w:hAnsi="Calibri"/>
                <w:sz w:val="20"/>
              </w:rPr>
              <w:t>Cross-device. Values reliability.</w:t>
            </w:r>
          </w:p>
        </w:tc>
      </w:tr>
      <w:tr>
        <w:tc>
          <w:tcPr>
            <w:tcW w:type="dxa" w:w="2160"/>
            <w:shd w:fill="F5F5FA" w:val="clear"/>
          </w:tcPr>
          <w:p>
            <w:r>
              <w:rPr>
                <w:rFonts w:ascii="Calibri" w:hAnsi="Calibri"/>
                <w:sz w:val="20"/>
              </w:rPr>
              <w:t>Brand relationship</w:t>
            </w:r>
          </w:p>
        </w:tc>
        <w:tc>
          <w:tcPr>
            <w:tcW w:type="dxa" w:w="3240"/>
            <w:shd w:fill="F5F5FA" w:val="clear"/>
          </w:tcPr>
          <w:p>
            <w:r>
              <w:rPr>
                <w:rFonts w:ascii="Calibri" w:hAnsi="Calibri"/>
                <w:sz w:val="20"/>
              </w:rPr>
              <w:t>Open to new. Peer-influenced.</w:t>
            </w:r>
          </w:p>
        </w:tc>
        <w:tc>
          <w:tcPr>
            <w:tcW w:type="dxa" w:w="3240"/>
            <w:shd w:fill="F5F5FA" w:val="clear"/>
          </w:tcPr>
          <w:p>
            <w:r>
              <w:rPr>
                <w:rFonts w:ascii="Calibri" w:hAnsi="Calibri"/>
                <w:sz w:val="20"/>
              </w:rPr>
              <w:t>Loyal but switchable. Ignores hype.</w:t>
            </w:r>
          </w:p>
        </w:tc>
      </w:tr>
    </w:tbl>
    <w:p/>
    <w:p>
      <w:r>
        <w:t>Atlas's protocol-level approach is generation-agnostic by design: agents serve both demographics through their preferred interfaces.</w:t>
      </w:r>
    </w:p>
    <w:p>
      <w:r>
        <w:br w:type="page"/>
      </w:r>
    </w:p>
    <w:p>
      <w:pPr>
        <w:pStyle w:val="Heading1"/>
      </w:pPr>
      <w:r>
        <w:t>6. The AI Agent Opportunity</w:t>
      </w:r>
    </w:p>
    <w:p>
      <w:pPr>
        <w:pStyle w:val="Heading2"/>
      </w:pPr>
      <w:r>
        <w:t>6.1 AI Agent Market Scale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1A1A2E" w:val="clear"/>
          </w:tcPr>
          <w:p>
            <w:pPr>
              <w:jc w:val="left"/>
            </w:pPr>
            <w:r>
              <w:rPr>
                <w:rFonts w:ascii="Calibri" w:hAnsi="Calibri"/>
                <w:b/>
                <w:color w:val="FFFFFF"/>
                <w:sz w:val="20"/>
              </w:rPr>
              <w:t>Source</w:t>
            </w:r>
          </w:p>
        </w:tc>
        <w:tc>
          <w:tcPr>
            <w:tcW w:type="dxa" w:w="1872"/>
            <w:shd w:fill="1A1A2E" w:val="clear"/>
          </w:tcPr>
          <w:p>
            <w:pPr>
              <w:jc w:val="left"/>
            </w:pPr>
            <w:r>
              <w:rPr>
                <w:rFonts w:ascii="Calibri" w:hAnsi="Calibri"/>
                <w:b/>
                <w:color w:val="FFFFFF"/>
                <w:sz w:val="20"/>
              </w:rPr>
              <w:t>2025 Valuation</w:t>
            </w:r>
          </w:p>
        </w:tc>
        <w:tc>
          <w:tcPr>
            <w:tcW w:type="dxa" w:w="2160"/>
            <w:shd w:fill="1A1A2E" w:val="clear"/>
          </w:tcPr>
          <w:p>
            <w:pPr>
              <w:jc w:val="left"/>
            </w:pPr>
            <w:r>
              <w:rPr>
                <w:rFonts w:ascii="Calibri" w:hAnsi="Calibri"/>
                <w:b/>
                <w:color w:val="FFFFFF"/>
                <w:sz w:val="20"/>
              </w:rPr>
              <w:t>Projection</w:t>
            </w:r>
          </w:p>
        </w:tc>
        <w:tc>
          <w:tcPr>
            <w:tcW w:type="dxa" w:w="1440"/>
            <w:shd w:fill="1A1A2E" w:val="clear"/>
          </w:tcPr>
          <w:p>
            <w:pPr>
              <w:jc w:val="left"/>
            </w:pPr>
            <w:r>
              <w:rPr>
                <w:rFonts w:ascii="Calibri" w:hAnsi="Calibri"/>
                <w:b/>
                <w:color w:val="FFFFFF"/>
                <w:sz w:val="20"/>
              </w:rPr>
              <w:t>CAGR</w:t>
            </w:r>
          </w:p>
        </w:tc>
      </w:tr>
      <w:tr>
        <w:tc>
          <w:tcPr>
            <w:tcW w:type="dxa" w:w="3168"/>
            <w:shd w:fill="F5F5FA" w:val="clear"/>
          </w:tcPr>
          <w:p>
            <w:r>
              <w:rPr>
                <w:rFonts w:ascii="Calibri" w:hAnsi="Calibri"/>
                <w:sz w:val="20"/>
              </w:rPr>
              <w:t>Grand View Research (2025)</w:t>
            </w:r>
          </w:p>
        </w:tc>
        <w:tc>
          <w:tcPr>
            <w:tcW w:type="dxa" w:w="1872"/>
            <w:shd w:fill="F5F5FA" w:val="clear"/>
          </w:tcPr>
          <w:p>
            <w:r>
              <w:rPr>
                <w:rFonts w:ascii="Calibri" w:hAnsi="Calibri"/>
                <w:sz w:val="20"/>
              </w:rPr>
              <w:t>$7.63B</w:t>
            </w:r>
          </w:p>
        </w:tc>
        <w:tc>
          <w:tcPr>
            <w:tcW w:type="dxa" w:w="2160"/>
            <w:shd w:fill="F5F5FA" w:val="clear"/>
          </w:tcPr>
          <w:p>
            <w:r>
              <w:rPr>
                <w:rFonts w:ascii="Calibri" w:hAnsi="Calibri"/>
                <w:sz w:val="20"/>
              </w:rPr>
              <w:t>$182.97B (2033)</w:t>
            </w:r>
          </w:p>
        </w:tc>
        <w:tc>
          <w:tcPr>
            <w:tcW w:type="dxa" w:w="1440"/>
            <w:shd w:fill="F5F5FA" w:val="clear"/>
          </w:tcPr>
          <w:p>
            <w:r>
              <w:rPr>
                <w:rFonts w:ascii="Calibri" w:hAnsi="Calibri"/>
                <w:sz w:val="20"/>
              </w:rPr>
              <w:t>49.6%</w:t>
            </w:r>
          </w:p>
        </w:tc>
      </w:tr>
      <w:tr>
        <w:tc>
          <w:tcPr>
            <w:tcW w:type="dxa" w:w="3168"/>
          </w:tcPr>
          <w:p>
            <w:r>
              <w:rPr>
                <w:rFonts w:ascii="Calibri" w:hAnsi="Calibri"/>
                <w:sz w:val="20"/>
              </w:rPr>
              <w:t>MarketsandMarkets (2025)</w:t>
            </w:r>
          </w:p>
        </w:tc>
        <w:tc>
          <w:tcPr>
            <w:tcW w:type="dxa" w:w="1872"/>
          </w:tcPr>
          <w:p>
            <w:r>
              <w:rPr>
                <w:rFonts w:ascii="Calibri" w:hAnsi="Calibri"/>
                <w:sz w:val="20"/>
              </w:rPr>
              <w:t>$7.84B</w:t>
            </w:r>
          </w:p>
        </w:tc>
        <w:tc>
          <w:tcPr>
            <w:tcW w:type="dxa" w:w="2160"/>
          </w:tcPr>
          <w:p>
            <w:r>
              <w:rPr>
                <w:rFonts w:ascii="Calibri" w:hAnsi="Calibri"/>
                <w:sz w:val="20"/>
              </w:rPr>
              <w:t>$52.62B (2030)</w:t>
            </w:r>
          </w:p>
        </w:tc>
        <w:tc>
          <w:tcPr>
            <w:tcW w:type="dxa" w:w="1440"/>
          </w:tcPr>
          <w:p>
            <w:r>
              <w:rPr>
                <w:rFonts w:ascii="Calibri" w:hAnsi="Calibri"/>
                <w:sz w:val="20"/>
              </w:rPr>
              <w:t>46.3%</w:t>
            </w:r>
          </w:p>
        </w:tc>
      </w:tr>
    </w:tbl>
    <w:p/>
    <w:p>
      <w:r>
        <w:t>Gartner projections paint the broader picture:</w:t>
      </w:r>
    </w:p>
    <w:p>
      <w:pPr>
        <w:pStyle w:val="ListBullet"/>
      </w:pPr>
      <w:r>
        <w:rPr>
          <w:rFonts w:ascii="Calibri" w:hAnsi="Calibri"/>
          <w:sz w:val="22"/>
        </w:rPr>
        <w:t>By 2028, 90% of B2B buying will be AI-agent-intermediated, pushing $15 trillion through AI agent exchanges (Gartner, Nov 2025)</w:t>
      </w:r>
    </w:p>
    <w:p>
      <w:pPr>
        <w:pStyle w:val="ListBullet"/>
      </w:pPr>
      <w:r>
        <w:rPr>
          <w:rFonts w:ascii="Calibri" w:hAnsi="Calibri"/>
          <w:sz w:val="22"/>
        </w:rPr>
        <w:t>By 2026, 40% of enterprise apps will feature task-specific AI agents, up from &lt;5% in 2025 (Gartner, Aug 2025)</w:t>
      </w:r>
    </w:p>
    <w:p>
      <w:pPr>
        <w:pStyle w:val="ListBullet"/>
      </w:pPr>
      <w:r>
        <w:rPr>
          <w:rFonts w:ascii="Calibri" w:hAnsi="Calibri"/>
          <w:sz w:val="22"/>
        </w:rPr>
        <w:t>By 2028, AI agents will outnumber human sellers by 10x (Gartner, Nov 2025)</w:t>
      </w:r>
    </w:p>
    <w:p>
      <w:pPr>
        <w:pStyle w:val="ListBullet"/>
      </w:pPr>
      <w:r>
        <w:rPr>
          <w:rFonts w:ascii="Calibri" w:hAnsi="Calibri"/>
          <w:sz w:val="22"/>
        </w:rPr>
        <w:t>60% of brands will use agentic AI for one-to-one interactions by 2028 (Gartner, Jan 2026)</w:t>
      </w:r>
    </w:p>
    <w:p>
      <w:pPr>
        <w:pStyle w:val="Heading2"/>
      </w:pPr>
      <w:r>
        <w:t>6.2 Agent Commerce Is Already Here (Except for Events)</w:t>
      </w:r>
    </w:p>
    <w:p>
      <w:r>
        <w:t>AI agents are already transacting in travel and dining. 40% of global consumers use AI for travel planning, with 78% reporting it improves the experience (Statista / Travala, 2025). 74% of consumers are comfortable using AI in restaurant booking (SevenRooms, 2025).</w:t>
      </w:r>
    </w:p>
    <w:p>
      <w:r>
        <w:t>Google AI Mode now searches across Ticketmaster, StubHub, SeatGeek, and Vivid Seats for event tickets, and across OpenTable, Resy, and Tock for restaurants (Skift, Nov 2025). But event discovery remains the most fragmented category. No unified protocol exists for agents to query event inventory across platforms, check real-time availability, hold tickets, or complete purchases.</w:t>
      </w:r>
    </w:p>
    <w:p>
      <w:r>
        <w:t>By 2030, an estimated 20-30% of all online transactions will involve AI agent mediation at some stage of the purchase funnel (Sanbi.ai, 2026). Events are the category that lacks a standard protocol and will be last to benefit from this shift. Atlas fills the gap.</w:t>
      </w:r>
    </w:p>
    <w:p>
      <w:pPr>
        <w:spacing w:before="160" w:after="160"/>
      </w:pPr>
      <w:r>
        <w:rPr>
          <w:rFonts w:ascii="Calibri" w:hAnsi="Calibri"/>
          <w:color w:val="2D2D2D"/>
          <w:sz w:val="22"/>
        </w:rPr>
        <w:t>Lemonade’s open-source CLI (lemonade-cli) lowers the integration barrier further. The CLI wraps every platform API into shell commands with structured JSON output. AI coding assistants (Claude Code, Cursor, GitHub Copilot Workspace) can call CLI commands directly, treating event creation, ticket sales, and page deployment as shell primitives alongside git and npm. Developers who build on Atlas do not need to write HTTP client code or learn a new SDK. They type terminal commands.</w:t>
      </w:r>
    </w:p>
    <w:p>
      <w:r>
        <w:br w:type="page"/>
      </w:r>
    </w:p>
    <w:p>
      <w:pPr>
        <w:pStyle w:val="Heading1"/>
      </w:pPr>
      <w:r>
        <w:t>7. Industry Fragmentation and Platform Consolidation</w:t>
      </w:r>
    </w:p>
    <w:p>
      <w:pPr>
        <w:pStyle w:val="Heading2"/>
      </w:pPr>
      <w:r>
        <w:t>7.1 The Bending Spoons Factor</w:t>
      </w:r>
    </w:p>
    <w:p>
      <w:r>
        <w:t>Bending Spoons, an Italian PE/software firm known for aggressive cost-cutting, now controls two of the largest platforms for community and SMB events:</w:t>
      </w:r>
    </w:p>
    <w:p>
      <w:r>
        <w:rPr>
          <w:b/>
        </w:rPr>
        <w:t xml:space="preserve">Eventbrite: </w:t>
      </w:r>
      <w:r>
        <w:t>Take-private deal at approximately $750 million ($8.40/share), roughly 72% below Eventbrite's 2018 IPO valuation of $1.76 billion. Deal closed March 10, 2026.</w:t>
      </w:r>
    </w:p>
    <w:p>
      <w:r>
        <w:rPr>
          <w:b/>
        </w:rPr>
        <w:t xml:space="preserve">Meetup: </w:t>
      </w:r>
      <w:r>
        <w:t>Acquired late 2023/early 2024. Followed by ~90% staff reductions, pricing increases, removal of free organizer tier, and significant organizer backlash.</w:t>
      </w:r>
    </w:p>
    <w:p>
      <w:r>
        <w:t>The Bending Spoons playbook (acquire, cut costs, raise prices, extract margin) creates direct opportunity for Atlas. Organizers facing higher fees and degraded product quality are actively seeking alternatives.</w:t>
      </w:r>
    </w:p>
    <w:p>
      <w:pPr>
        <w:pStyle w:val="Heading2"/>
      </w:pPr>
      <w:r>
        <w:t>7.2 Fee Structure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Pr>
                <w:rFonts w:ascii="Calibri" w:hAnsi="Calibri"/>
                <w:b/>
                <w:color w:val="FFFFFF"/>
                <w:sz w:val="20"/>
              </w:rPr>
              <w:t>Platform</w:t>
            </w:r>
          </w:p>
        </w:tc>
        <w:tc>
          <w:tcPr>
            <w:tcW w:type="dxa" w:w="3600"/>
            <w:shd w:fill="1A1A2E" w:val="clear"/>
          </w:tcPr>
          <w:p>
            <w:pPr>
              <w:jc w:val="left"/>
            </w:pPr>
            <w:r>
              <w:rPr>
                <w:rFonts w:ascii="Calibri" w:hAnsi="Calibri"/>
                <w:b/>
                <w:color w:val="FFFFFF"/>
                <w:sz w:val="20"/>
              </w:rPr>
              <w:t>Fee Structure</w:t>
            </w:r>
          </w:p>
        </w:tc>
        <w:tc>
          <w:tcPr>
            <w:tcW w:type="dxa" w:w="2880"/>
            <w:shd w:fill="1A1A2E" w:val="clear"/>
          </w:tcPr>
          <w:p>
            <w:pPr>
              <w:jc w:val="left"/>
            </w:pPr>
            <w:r>
              <w:rPr>
                <w:rFonts w:ascii="Calibri" w:hAnsi="Calibri"/>
                <w:b/>
                <w:color w:val="FFFFFF"/>
                <w:sz w:val="20"/>
              </w:rPr>
              <w:t>Effective Cost</w:t>
            </w:r>
          </w:p>
        </w:tc>
      </w:tr>
      <w:tr>
        <w:tc>
          <w:tcPr>
            <w:tcW w:type="dxa" w:w="2160"/>
            <w:shd w:fill="F5F5FA" w:val="clear"/>
          </w:tcPr>
          <w:p>
            <w:r>
              <w:rPr>
                <w:rFonts w:ascii="Calibri" w:hAnsi="Calibri"/>
                <w:sz w:val="20"/>
              </w:rPr>
              <w:t>Eventbrite</w:t>
            </w:r>
          </w:p>
        </w:tc>
        <w:tc>
          <w:tcPr>
            <w:tcW w:type="dxa" w:w="3600"/>
            <w:shd w:fill="F5F5FA" w:val="clear"/>
          </w:tcPr>
          <w:p>
            <w:r>
              <w:rPr>
                <w:rFonts w:ascii="Calibri" w:hAnsi="Calibri"/>
                <w:sz w:val="20"/>
              </w:rPr>
              <w:t>3.7% + $1.79/ticket + 2.9% processing</w:t>
            </w:r>
          </w:p>
        </w:tc>
        <w:tc>
          <w:tcPr>
            <w:tcW w:type="dxa" w:w="2880"/>
            <w:shd w:fill="F5F5FA" w:val="clear"/>
          </w:tcPr>
          <w:p>
            <w:r>
              <w:rPr>
                <w:rFonts w:ascii="Calibri" w:hAnsi="Calibri"/>
                <w:sz w:val="20"/>
              </w:rPr>
              <w:t>~8-10% all-in</w:t>
            </w:r>
          </w:p>
        </w:tc>
      </w:tr>
      <w:tr>
        <w:tc>
          <w:tcPr>
            <w:tcW w:type="dxa" w:w="2160"/>
          </w:tcPr>
          <w:p>
            <w:r>
              <w:rPr>
                <w:rFonts w:ascii="Calibri" w:hAnsi="Calibri"/>
                <w:sz w:val="20"/>
              </w:rPr>
              <w:t>Ticketmaster</w:t>
            </w:r>
          </w:p>
        </w:tc>
        <w:tc>
          <w:tcPr>
            <w:tcW w:type="dxa" w:w="3600"/>
          </w:tcPr>
          <w:p>
            <w:r>
              <w:rPr>
                <w:rFonts w:ascii="Calibri" w:hAnsi="Calibri"/>
                <w:sz w:val="20"/>
              </w:rPr>
              <w:t>20-30% service fees (consumer-facing)</w:t>
            </w:r>
          </w:p>
        </w:tc>
        <w:tc>
          <w:tcPr>
            <w:tcW w:type="dxa" w:w="2880"/>
          </w:tcPr>
          <w:p>
            <w:r>
              <w:rPr>
                <w:rFonts w:ascii="Calibri" w:hAnsi="Calibri"/>
                <w:sz w:val="20"/>
              </w:rPr>
              <w:t>Varies by venue</w:t>
            </w:r>
          </w:p>
        </w:tc>
      </w:tr>
      <w:tr>
        <w:tc>
          <w:tcPr>
            <w:tcW w:type="dxa" w:w="2160"/>
            <w:shd w:fill="F5F5FA" w:val="clear"/>
          </w:tcPr>
          <w:p>
            <w:r>
              <w:rPr>
                <w:rFonts w:ascii="Calibri" w:hAnsi="Calibri"/>
                <w:sz w:val="20"/>
              </w:rPr>
              <w:t>Ticket Tailor</w:t>
            </w:r>
          </w:p>
        </w:tc>
        <w:tc>
          <w:tcPr>
            <w:tcW w:type="dxa" w:w="3600"/>
            <w:shd w:fill="F5F5FA" w:val="clear"/>
          </w:tcPr>
          <w:p>
            <w:r>
              <w:rPr>
                <w:rFonts w:ascii="Calibri" w:hAnsi="Calibri"/>
                <w:sz w:val="20"/>
              </w:rPr>
              <w:t>$0.65/ticket flat fee</w:t>
            </w:r>
          </w:p>
        </w:tc>
        <w:tc>
          <w:tcPr>
            <w:tcW w:type="dxa" w:w="2880"/>
            <w:shd w:fill="F5F5FA" w:val="clear"/>
          </w:tcPr>
          <w:p>
            <w:r>
              <w:rPr>
                <w:rFonts w:ascii="Calibri" w:hAnsi="Calibri"/>
                <w:sz w:val="20"/>
              </w:rPr>
              <w:t>Fixed, low</w:t>
            </w:r>
          </w:p>
        </w:tc>
      </w:tr>
      <w:tr>
        <w:tc>
          <w:tcPr>
            <w:tcW w:type="dxa" w:w="2160"/>
          </w:tcPr>
          <w:p>
            <w:r>
              <w:rPr>
                <w:rFonts w:ascii="Calibri" w:hAnsi="Calibri"/>
                <w:sz w:val="20"/>
              </w:rPr>
              <w:t>Humanitix</w:t>
            </w:r>
          </w:p>
        </w:tc>
        <w:tc>
          <w:tcPr>
            <w:tcW w:type="dxa" w:w="3600"/>
          </w:tcPr>
          <w:p>
            <w:r>
              <w:rPr>
                <w:rFonts w:ascii="Calibri" w:hAnsi="Calibri"/>
                <w:sz w:val="20"/>
              </w:rPr>
              <w:t>Similar to Eventbrite (fees to charity)</w:t>
            </w:r>
          </w:p>
        </w:tc>
        <w:tc>
          <w:tcPr>
            <w:tcW w:type="dxa" w:w="2880"/>
          </w:tcPr>
          <w:p>
            <w:r>
              <w:rPr>
                <w:rFonts w:ascii="Calibri" w:hAnsi="Calibri"/>
                <w:sz w:val="20"/>
              </w:rPr>
              <w:t>~5-8%</w:t>
            </w:r>
          </w:p>
        </w:tc>
      </w:tr>
      <w:tr>
        <w:tc>
          <w:tcPr>
            <w:tcW w:type="dxa" w:w="2160"/>
            <w:shd w:fill="F5F5FA" w:val="clear"/>
          </w:tcPr>
          <w:p>
            <w:r>
              <w:rPr>
                <w:rFonts w:ascii="Calibri" w:hAnsi="Calibri"/>
                <w:sz w:val="20"/>
              </w:rPr>
              <w:t>Atlas Direct</w:t>
            </w:r>
          </w:p>
        </w:tc>
        <w:tc>
          <w:tcPr>
            <w:tcW w:type="dxa" w:w="3600"/>
            <w:shd w:fill="F5F5FA" w:val="clear"/>
          </w:tcPr>
          <w:p>
            <w:r>
              <w:rPr>
                <w:rFonts w:ascii="Calibri" w:hAnsi="Calibri"/>
                <w:sz w:val="20"/>
              </w:rPr>
              <w:t>2% protocol fee</w:t>
            </w:r>
          </w:p>
        </w:tc>
        <w:tc>
          <w:tcPr>
            <w:tcW w:type="dxa" w:w="2880"/>
            <w:shd w:fill="F5F5FA" w:val="clear"/>
          </w:tcPr>
          <w:p>
            <w:r>
              <w:rPr>
                <w:rFonts w:ascii="Calibri" w:hAnsi="Calibri"/>
                <w:sz w:val="20"/>
              </w:rPr>
              <w:t>2% (+~1.5% if Stripe SPT)</w:t>
            </w:r>
          </w:p>
        </w:tc>
      </w:tr>
    </w:tbl>
    <w:p/>
    <w:p>
      <w:r>
        <w:t>For a $25 ticket, Eventbrite charges roughly $2.50-3.00 in total fees. Atlas charges $0.50. The organizer keeps $24.12 (card) or $24.50 (USDC direct) through Atlas vs. roughly $21.50-22.50 through Eventbrite.</w:t>
      </w:r>
    </w:p>
    <w:p>
      <w:r>
        <w:br w:type="page"/>
      </w:r>
    </w:p>
    <w:p>
      <w:pPr>
        <w:pStyle w:val="Heading1"/>
      </w:pPr>
      <w:r>
        <w:t>8. Atlas TAM / SAM / SOM</w:t>
      </w:r>
    </w:p>
    <w:p>
      <w:pPr>
        <w:pStyle w:val="Heading2"/>
      </w:pPr>
      <w:r>
        <w:t>TAM: Total Addressable Market</w:t>
      </w:r>
    </w:p>
    <w:p>
      <w:pPr>
        <w:spacing w:before="120" w:after="40"/>
        <w:ind w:left="567"/>
      </w:pPr>
      <w:r>
        <w:rPr>
          <w:rFonts w:ascii="Calibri" w:hAnsi="Calibri"/>
          <w:b/>
          <w:color w:val="2C3E6B"/>
          <w:sz w:val="36"/>
        </w:rPr>
        <w:t>$1.0 - 1.3 Trillion</w:t>
      </w:r>
    </w:p>
    <w:p>
      <w:pPr>
        <w:spacing w:after="40"/>
        <w:ind w:left="567"/>
      </w:pPr>
      <w:r>
        <w:rPr>
          <w:rFonts w:ascii="Calibri" w:hAnsi="Calibri"/>
          <w:sz w:val="22"/>
        </w:rPr>
        <w:t>The global events industry in 2024, across all segments.</w:t>
      </w:r>
    </w:p>
    <w:p>
      <w:pPr>
        <w:spacing w:after="200"/>
        <w:ind w:left="567"/>
      </w:pPr>
      <w:r>
        <w:rPr>
          <w:rFonts w:ascii="Calibri" w:hAnsi="Calibri"/>
          <w:i/>
          <w:color w:val="999999"/>
          <w:sz w:val="18"/>
        </w:rPr>
        <w:t>Atlas is a protocol. Every ticketed event in the world is a candidate for Atlas discovery and settlement.</w:t>
      </w:r>
    </w:p>
    <w:p>
      <w:pPr>
        <w:pStyle w:val="Heading2"/>
      </w:pPr>
      <w:r>
        <w:t>SAM: Serviceable Addressable Market</w:t>
      </w:r>
    </w:p>
    <w:p>
      <w:pPr>
        <w:spacing w:before="120" w:after="40"/>
        <w:ind w:left="567"/>
      </w:pPr>
      <w:r>
        <w:rPr>
          <w:rFonts w:ascii="Calibri" w:hAnsi="Calibri"/>
          <w:b/>
          <w:color w:val="2C3E6B"/>
          <w:sz w:val="36"/>
        </w:rPr>
        <w:t>$60 - 85 Billion</w:t>
      </w:r>
    </w:p>
    <w:p>
      <w:pPr>
        <w:spacing w:after="40"/>
        <w:ind w:left="567"/>
      </w:pPr>
      <w:r>
        <w:rPr>
          <w:rFonts w:ascii="Calibri" w:hAnsi="Calibri"/>
          <w:sz w:val="22"/>
        </w:rPr>
        <w:t>The global online event ticketing market.</w:t>
      </w:r>
    </w:p>
    <w:p>
      <w:pPr>
        <w:spacing w:after="200"/>
        <w:ind w:left="567"/>
      </w:pPr>
      <w:r>
        <w:rPr>
          <w:rFonts w:ascii="Calibri" w:hAnsi="Calibri"/>
          <w:i/>
          <w:color w:val="999999"/>
          <w:sz w:val="18"/>
        </w:rPr>
        <w:t>Limited to events that are (a) ticketed, (b) sold online, (c) on platforms or by organizers willing to adopt.</w:t>
      </w:r>
    </w:p>
    <w:p>
      <w:r>
        <w:t>Within this SAM, the most immediately addressable segments:</w:t>
      </w:r>
    </w:p>
    <w:p>
      <w:pPr>
        <w:pStyle w:val="ListBullet"/>
      </w:pPr>
      <w:r>
        <w:rPr>
          <w:rFonts w:ascii="Calibri" w:hAnsi="Calibri"/>
          <w:sz w:val="22"/>
        </w:rPr>
        <w:t>Self-service/SMB event ticketing (Eventbrite's core market): ~$4-5 billion GMV</w:t>
      </w:r>
    </w:p>
    <w:p>
      <w:pPr>
        <w:pStyle w:val="ListBullet"/>
      </w:pPr>
      <w:r>
        <w:rPr>
          <w:rFonts w:ascii="Calibri" w:hAnsi="Calibri"/>
          <w:sz w:val="22"/>
        </w:rPr>
        <w:t>Creator and community events growing at 35-181% annually</w:t>
      </w:r>
    </w:p>
    <w:p>
      <w:pPr>
        <w:pStyle w:val="ListBullet"/>
      </w:pPr>
      <w:r>
        <w:rPr>
          <w:rFonts w:ascii="Calibri" w:hAnsi="Calibri"/>
          <w:sz w:val="22"/>
        </w:rPr>
        <w:t>Experiential/brand events: $128 billion spend, portion flowing through ticketing</w:t>
      </w:r>
    </w:p>
    <w:p>
      <w:pPr>
        <w:pStyle w:val="ListBullet"/>
      </w:pPr>
      <w:r>
        <w:rPr>
          <w:rFonts w:ascii="Calibri" w:hAnsi="Calibri"/>
          <w:sz w:val="22"/>
        </w:rPr>
        <w:t>Corporate events and conferences: $254 billion, growing share going digital-first</w:t>
      </w:r>
    </w:p>
    <w:p>
      <w:pPr>
        <w:pStyle w:val="Heading2"/>
      </w:pPr>
      <w:r>
        <w:t>SOM: Serviceable Obtainable Market</w:t>
      </w:r>
    </w:p>
    <w:p>
      <w:pPr>
        <w:spacing w:before="120" w:after="40"/>
        <w:ind w:left="567"/>
      </w:pPr>
      <w:r>
        <w:rPr>
          <w:rFonts w:ascii="Calibri" w:hAnsi="Calibri"/>
          <w:b/>
          <w:color w:val="2C3E6B"/>
          <w:sz w:val="36"/>
        </w:rPr>
        <w:t>$500M - $2 Billion GMV</w:t>
      </w:r>
    </w:p>
    <w:p>
      <w:pPr>
        <w:spacing w:after="40"/>
        <w:ind w:left="567"/>
      </w:pPr>
      <w:r>
        <w:rPr>
          <w:rFonts w:ascii="Calibri" w:hAnsi="Calibri"/>
          <w:sz w:val="22"/>
        </w:rPr>
        <w:t>Within 3-5 years of launch.</w:t>
      </w:r>
    </w:p>
    <w:p>
      <w:pPr>
        <w:spacing w:after="200"/>
        <w:ind w:left="567"/>
      </w:pPr>
      <w:r>
        <w:rPr>
          <w:rFonts w:ascii="Calibri" w:hAnsi="Calibri"/>
          <w:i/>
          <w:color w:val="999999"/>
          <w:sz w:val="18"/>
        </w:rPr>
        <w:t>At 2% protocol fee, generates $10-40 million annually in protocol revenue.</w:t>
      </w:r>
    </w:p>
    <w:p>
      <w:r>
        <w:t>Near-term capture segments:</w:t>
      </w:r>
    </w:p>
    <w:p>
      <w:r>
        <w:rPr>
          <w:b/>
        </w:rPr>
        <w:t xml:space="preserve">1. Dissatisfied Eventbrite/Meetup organizers. </w:t>
      </w:r>
      <w:r>
        <w:t>Eventbrite processed ~$4 billion in annual GMV. Capturing 5-10% of this organizer base through OAuth imports represents $200-400 million in GMV.</w:t>
      </w:r>
    </w:p>
    <w:p>
      <w:r>
        <w:rPr>
          <w:b/>
        </w:rPr>
        <w:t xml:space="preserve">2. Creator economy and niche communities. </w:t>
      </w:r>
      <w:r>
        <w:t>The "fourth spaces" trend is growing 35-181% annually. Many events are organized through Instagram, WhatsApp, and Discord with no formal ticketing.</w:t>
      </w:r>
    </w:p>
    <w:p>
      <w:r>
        <w:rPr>
          <w:b/>
        </w:rPr>
        <w:t xml:space="preserve">3. New platforms built ON Atlas. </w:t>
      </w:r>
      <w:r>
        <w:t>20 builder-platforms at $5-25 million average GMV each represents $100-500 million in aggregate.</w:t>
      </w:r>
    </w:p>
    <w:p>
      <w:r>
        <w:rPr>
          <w:b/>
        </w:rPr>
        <w:t xml:space="preserve">4. Agent-driven discovery. </w:t>
      </w:r>
      <w:r>
        <w:t>The first agent that reliably books events through Atlas captures a distribution channel with zero marginal cost per booking.</w:t>
      </w:r>
    </w:p>
    <w:p>
      <w:r>
        <w:br w:type="page"/>
      </w:r>
    </w:p>
    <w:p>
      <w:pPr>
        <w:pStyle w:val="Heading1"/>
      </w:pPr>
      <w:r>
        <w:t>9. GTM Implications by Generation</w:t>
      </w:r>
    </w:p>
    <w:p>
      <w:pPr>
        <w:pStyle w:val="Heading2"/>
      </w:pPr>
      <w:r>
        <w:t>9.1 Reaching Gen Z</w:t>
      </w:r>
    </w:p>
    <w:p>
      <w:r>
        <w:t>Gen Z does not respond to traditional marketing. Their discovery is algorithmic, social, and peer-driven.</w:t>
      </w:r>
    </w:p>
    <w:p>
      <w:pPr>
        <w:pStyle w:val="Heading3"/>
      </w:pPr>
      <w:r>
        <w:t>Channels That Work</w:t>
      </w:r>
    </w:p>
    <w:p>
      <w:r>
        <w:rPr>
          <w:b/>
        </w:rPr>
        <w:t xml:space="preserve">TikTok and Instagram Reels. </w:t>
      </w:r>
      <w:r>
        <w:t>34% of Gen Z use TikTok for search. 51% discover music there. Short-form video content showing real events, real crowds, and real reactions outperforms polished brand content. User-generated content from attendees is more influential than influencer content (MDPI, 2025).</w:t>
      </w:r>
    </w:p>
    <w:p>
      <w:r>
        <w:rPr>
          <w:b/>
        </w:rPr>
        <w:t xml:space="preserve">Discord and community channels. </w:t>
      </w:r>
      <w:r>
        <w:t>Gen Z organizes in Discord servers, group chats, and subreddit communities. Atlas builder-platforms that embed in these communities capture organic distribution.</w:t>
      </w:r>
    </w:p>
    <w:p>
      <w:r>
        <w:rPr>
          <w:b/>
        </w:rPr>
        <w:t xml:space="preserve">Peer referral. </w:t>
      </w:r>
      <w:r>
        <w:t>Gen Z trusts friends over brands. Atlas's referral program (0.5% cashback for referred friend's first purchase) maps directly to this behavior.</w:t>
      </w:r>
    </w:p>
    <w:p>
      <w:r>
        <w:rPr>
          <w:b/>
        </w:rPr>
        <w:t xml:space="preserve">Price anchoring. </w:t>
      </w:r>
      <w:r>
        <w:t>$30 is the sweet spot. Early-bird pricing, group discounts, and USDC cashback rewards (0.2-1% back on every purchase) address price sensitivity without devaluing the event.</w:t>
      </w:r>
    </w:p>
    <w:p>
      <w:pPr>
        <w:pStyle w:val="Heading3"/>
      </w:pPr>
      <w:r>
        <w:t>Messaging That Works</w:t>
      </w:r>
    </w:p>
    <w:p>
      <w:pPr>
        <w:pStyle w:val="ListBullet"/>
      </w:pPr>
      <w:r>
        <w:rPr>
          <w:rFonts w:ascii="Calibri" w:hAnsi="Calibri"/>
          <w:sz w:val="22"/>
        </w:rPr>
        <w:t>Lead with social proof and FOMO. 85.8% of Gen Z exceeds their budget at events.</w:t>
      </w:r>
    </w:p>
    <w:p>
      <w:pPr>
        <w:pStyle w:val="ListBullet"/>
      </w:pPr>
      <w:r>
        <w:rPr>
          <w:rFonts w:ascii="Calibri" w:hAnsi="Calibri"/>
          <w:sz w:val="22"/>
        </w:rPr>
        <w:t>Lead with community and belonging. 84% developed friendships through events.</w:t>
      </w:r>
    </w:p>
    <w:p>
      <w:pPr>
        <w:pStyle w:val="ListBullet"/>
      </w:pPr>
      <w:r>
        <w:rPr>
          <w:rFonts w:ascii="Calibri" w:hAnsi="Calibri"/>
          <w:sz w:val="22"/>
        </w:rPr>
        <w:t>Never mention blockchain, USDC, or protocol mechanics to this audience.</w:t>
      </w:r>
    </w:p>
    <w:p>
      <w:pPr>
        <w:pStyle w:val="Heading2"/>
      </w:pPr>
      <w:r>
        <w:t>9.2 Reaching Gen X</w:t>
      </w:r>
    </w:p>
    <w:p>
      <w:r>
        <w:t>Gen X responds to value clarity, reliability, and quality. They are skeptical of hype and ignore influencer-driven marketing.</w:t>
      </w:r>
    </w:p>
    <w:p>
      <w:pPr>
        <w:pStyle w:val="Heading3"/>
      </w:pPr>
      <w:r>
        <w:t>Channels That Work</w:t>
      </w:r>
    </w:p>
    <w:p>
      <w:r>
        <w:rPr>
          <w:b/>
        </w:rPr>
        <w:t xml:space="preserve">Email newsletters. </w:t>
      </w:r>
      <w:r>
        <w:t>Gen X opens email. Curated event newsletters with clear value propositions (date, price, why it matters) convert at higher rates than social media for this demographic.</w:t>
      </w:r>
    </w:p>
    <w:p>
      <w:r>
        <w:rPr>
          <w:b/>
        </w:rPr>
        <w:t xml:space="preserve">Facebook and LinkedIn. </w:t>
      </w:r>
      <w:r>
        <w:t>These platforms remain primary social channels for Gen X. LinkedIn is particularly effective for professional events and conferences.</w:t>
      </w:r>
    </w:p>
    <w:p>
      <w:r>
        <w:rPr>
          <w:b/>
        </w:rPr>
        <w:t xml:space="preserve">Google Search and SEO. </w:t>
      </w:r>
      <w:r>
        <w:t>Gen X still googles. Atlas-compliant event listings with Schema.org markup are indexed by Google and surfaced in search results.</w:t>
      </w:r>
    </w:p>
    <w:p>
      <w:pPr>
        <w:pStyle w:val="Heading3"/>
      </w:pPr>
      <w:r>
        <w:t>Messaging That Works</w:t>
      </w:r>
    </w:p>
    <w:p>
      <w:pPr>
        <w:pStyle w:val="ListBullet"/>
      </w:pPr>
      <w:r>
        <w:rPr>
          <w:rFonts w:ascii="Calibri" w:hAnsi="Calibri"/>
          <w:sz w:val="22"/>
        </w:rPr>
        <w:t>Lead with concrete value: "$24.50 of your $25 goes to the organizer."</w:t>
      </w:r>
    </w:p>
    <w:p>
      <w:pPr>
        <w:pStyle w:val="ListBullet"/>
      </w:pPr>
      <w:r>
        <w:rPr>
          <w:rFonts w:ascii="Calibri" w:hAnsi="Calibri"/>
          <w:sz w:val="22"/>
        </w:rPr>
        <w:t>Lead with quality: "events worth your time." Gen X has limited free time.</w:t>
      </w:r>
    </w:p>
    <w:p>
      <w:pPr>
        <w:pStyle w:val="ListBullet"/>
      </w:pPr>
      <w:r>
        <w:rPr>
          <w:rFonts w:ascii="Calibri" w:hAnsi="Calibri"/>
          <w:sz w:val="22"/>
        </w:rPr>
        <w:t>Mention tech only when it supports value: "instant settlement," not "USDC on Tempo."</w:t>
      </w:r>
    </w:p>
    <w:p>
      <w:pPr>
        <w:pStyle w:val="Heading2"/>
      </w:pPr>
      <w:r>
        <w:t>9.3 Dual-Generation Strategy</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A1A2E" w:val="clear"/>
          </w:tcPr>
          <w:p>
            <w:pPr>
              <w:jc w:val="left"/>
            </w:pPr>
            <w:r>
              <w:rPr>
                <w:rFonts w:ascii="Calibri" w:hAnsi="Calibri"/>
                <w:b/>
                <w:color w:val="FFFFFF"/>
                <w:sz w:val="20"/>
              </w:rPr>
              <w:t>Component</w:t>
            </w:r>
          </w:p>
        </w:tc>
        <w:tc>
          <w:tcPr>
            <w:tcW w:type="dxa" w:w="3384"/>
            <w:shd w:fill="1A1A2E" w:val="clear"/>
          </w:tcPr>
          <w:p>
            <w:pPr>
              <w:jc w:val="left"/>
            </w:pPr>
            <w:r>
              <w:rPr>
                <w:rFonts w:ascii="Calibri" w:hAnsi="Calibri"/>
                <w:b/>
                <w:color w:val="FFFFFF"/>
                <w:sz w:val="20"/>
              </w:rPr>
              <w:t>Gen Z Surface</w:t>
            </w:r>
          </w:p>
        </w:tc>
        <w:tc>
          <w:tcPr>
            <w:tcW w:type="dxa" w:w="3384"/>
            <w:shd w:fill="1A1A2E" w:val="clear"/>
          </w:tcPr>
          <w:p>
            <w:pPr>
              <w:jc w:val="left"/>
            </w:pPr>
            <w:r>
              <w:rPr>
                <w:rFonts w:ascii="Calibri" w:hAnsi="Calibri"/>
                <w:b/>
                <w:color w:val="FFFFFF"/>
                <w:sz w:val="20"/>
              </w:rPr>
              <w:t>Gen X Surface</w:t>
            </w:r>
          </w:p>
        </w:tc>
      </w:tr>
      <w:tr>
        <w:tc>
          <w:tcPr>
            <w:tcW w:type="dxa" w:w="1872"/>
            <w:shd w:fill="F5F5FA" w:val="clear"/>
          </w:tcPr>
          <w:p>
            <w:r>
              <w:rPr>
                <w:rFonts w:ascii="Calibri" w:hAnsi="Calibri"/>
                <w:sz w:val="20"/>
              </w:rPr>
              <w:t>Discovery</w:t>
            </w:r>
          </w:p>
        </w:tc>
        <w:tc>
          <w:tcPr>
            <w:tcW w:type="dxa" w:w="3384"/>
            <w:shd w:fill="F5F5FA" w:val="clear"/>
          </w:tcPr>
          <w:p>
            <w:r>
              <w:rPr>
                <w:rFonts w:ascii="Calibri" w:hAnsi="Calibri"/>
                <w:sz w:val="20"/>
              </w:rPr>
              <w:t>TikTok/IG agents, Discord bots</w:t>
            </w:r>
          </w:p>
        </w:tc>
        <w:tc>
          <w:tcPr>
            <w:tcW w:type="dxa" w:w="3384"/>
            <w:shd w:fill="F5F5FA" w:val="clear"/>
          </w:tcPr>
          <w:p>
            <w:r>
              <w:rPr>
                <w:rFonts w:ascii="Calibri" w:hAnsi="Calibri"/>
                <w:sz w:val="20"/>
              </w:rPr>
              <w:t>Email digests, Google, newsletters</w:t>
            </w:r>
          </w:p>
        </w:tc>
      </w:tr>
      <w:tr>
        <w:tc>
          <w:tcPr>
            <w:tcW w:type="dxa" w:w="1872"/>
          </w:tcPr>
          <w:p>
            <w:r>
              <w:rPr>
                <w:rFonts w:ascii="Calibri" w:hAnsi="Calibri"/>
                <w:sz w:val="20"/>
              </w:rPr>
              <w:t>Purchase</w:t>
            </w:r>
          </w:p>
        </w:tc>
        <w:tc>
          <w:tcPr>
            <w:tcW w:type="dxa" w:w="3384"/>
          </w:tcPr>
          <w:p>
            <w:r>
              <w:rPr>
                <w:rFonts w:ascii="Calibri" w:hAnsi="Calibri"/>
                <w:sz w:val="20"/>
              </w:rPr>
              <w:t>Mobile-first, Apple/Google Pay</w:t>
            </w:r>
          </w:p>
        </w:tc>
        <w:tc>
          <w:tcPr>
            <w:tcW w:type="dxa" w:w="3384"/>
          </w:tcPr>
          <w:p>
            <w:r>
              <w:rPr>
                <w:rFonts w:ascii="Calibri" w:hAnsi="Calibri"/>
                <w:sz w:val="20"/>
              </w:rPr>
              <w:t>Desktop + mobile, credit card</w:t>
            </w:r>
          </w:p>
        </w:tc>
      </w:tr>
      <w:tr>
        <w:tc>
          <w:tcPr>
            <w:tcW w:type="dxa" w:w="1872"/>
            <w:shd w:fill="F5F5FA" w:val="clear"/>
          </w:tcPr>
          <w:p>
            <w:r>
              <w:rPr>
                <w:rFonts w:ascii="Calibri" w:hAnsi="Calibri"/>
                <w:sz w:val="20"/>
              </w:rPr>
              <w:t>Rewards</w:t>
            </w:r>
          </w:p>
        </w:tc>
        <w:tc>
          <w:tcPr>
            <w:tcW w:type="dxa" w:w="3384"/>
            <w:shd w:fill="F5F5FA" w:val="clear"/>
          </w:tcPr>
          <w:p>
            <w:r>
              <w:rPr>
                <w:rFonts w:ascii="Calibri" w:hAnsi="Calibri"/>
                <w:sz w:val="20"/>
              </w:rPr>
              <w:t>Gamified cashback, referral bonuses</w:t>
            </w:r>
          </w:p>
        </w:tc>
        <w:tc>
          <w:tcPr>
            <w:tcW w:type="dxa" w:w="3384"/>
            <w:shd w:fill="F5F5FA" w:val="clear"/>
          </w:tcPr>
          <w:p>
            <w:r>
              <w:rPr>
                <w:rFonts w:ascii="Calibri" w:hAnsi="Calibri"/>
                <w:sz w:val="20"/>
              </w:rPr>
              <w:t>Transparent savings, loyalty</w:t>
            </w:r>
          </w:p>
        </w:tc>
      </w:tr>
      <w:tr>
        <w:tc>
          <w:tcPr>
            <w:tcW w:type="dxa" w:w="1872"/>
          </w:tcPr>
          <w:p>
            <w:r>
              <w:rPr>
                <w:rFonts w:ascii="Calibri" w:hAnsi="Calibri"/>
                <w:sz w:val="20"/>
              </w:rPr>
              <w:t>Events</w:t>
            </w:r>
          </w:p>
        </w:tc>
        <w:tc>
          <w:tcPr>
            <w:tcW w:type="dxa" w:w="3384"/>
          </w:tcPr>
          <w:p>
            <w:r>
              <w:rPr>
                <w:rFonts w:ascii="Calibri" w:hAnsi="Calibri"/>
                <w:sz w:val="20"/>
              </w:rPr>
              <w:t>Fourth spaces, niche, creator</w:t>
            </w:r>
          </w:p>
        </w:tc>
        <w:tc>
          <w:tcPr>
            <w:tcW w:type="dxa" w:w="3384"/>
          </w:tcPr>
          <w:p>
            <w:r>
              <w:rPr>
                <w:rFonts w:ascii="Calibri" w:hAnsi="Calibri"/>
                <w:sz w:val="20"/>
              </w:rPr>
              <w:t>Premium, conferences, food/wine</w:t>
            </w:r>
          </w:p>
        </w:tc>
      </w:tr>
      <w:tr>
        <w:tc>
          <w:tcPr>
            <w:tcW w:type="dxa" w:w="1872"/>
            <w:shd w:fill="F5F5FA" w:val="clear"/>
          </w:tcPr>
          <w:p>
            <w:r>
              <w:rPr>
                <w:rFonts w:ascii="Calibri" w:hAnsi="Calibri"/>
                <w:sz w:val="20"/>
              </w:rPr>
              <w:t>Trust signals</w:t>
            </w:r>
          </w:p>
        </w:tc>
        <w:tc>
          <w:tcPr>
            <w:tcW w:type="dxa" w:w="3384"/>
            <w:shd w:fill="F5F5FA" w:val="clear"/>
          </w:tcPr>
          <w:p>
            <w:r>
              <w:rPr>
                <w:rFonts w:ascii="Calibri" w:hAnsi="Calibri"/>
                <w:sz w:val="20"/>
              </w:rPr>
              <w:t>Peer reviews, attendee UGC</w:t>
            </w:r>
          </w:p>
        </w:tc>
        <w:tc>
          <w:tcPr>
            <w:tcW w:type="dxa" w:w="3384"/>
            <w:shd w:fill="F5F5FA" w:val="clear"/>
          </w:tcPr>
          <w:p>
            <w:r>
              <w:rPr>
                <w:rFonts w:ascii="Calibri" w:hAnsi="Calibri"/>
                <w:sz w:val="20"/>
              </w:rPr>
              <w:t>Transparent pricing, reputation</w:t>
            </w:r>
          </w:p>
        </w:tc>
      </w:tr>
    </w:tbl>
    <w:p/>
    <w:p>
      <w:r>
        <w:t>The protocol itself is invisible to both generations. Agents handle the interface layer. The same Atlas listing, the same 402 purchase flow, the same USDC settlement serves both a 22-year-old discovering a board game night through TikTok and a 52-year-old booking a wine tasting through an email newsletter.</w:t>
      </w:r>
    </w:p>
    <w:p>
      <w:r>
        <w:br w:type="page"/>
      </w:r>
    </w:p>
    <w:p>
      <w:pPr>
        <w:pStyle w:val="Heading1"/>
      </w:pPr>
      <w:r>
        <w:t>Sources</w:t>
      </w:r>
    </w:p>
    <w:p>
      <w:pPr>
        <w:pStyle w:val="Heading2"/>
      </w:pPr>
      <w:r>
        <w:t>Market Sizing</w:t>
      </w:r>
    </w:p>
    <w:p>
      <w:pPr>
        <w:pStyle w:val="ListBullet"/>
      </w:pPr>
      <w:r>
        <w:rPr>
          <w:color w:val="555555"/>
          <w:sz w:val="18"/>
        </w:rPr>
        <w:t>Allied Market Research, Events Industry Market (Feb 2025)</w:t>
      </w:r>
    </w:p>
    <w:p>
      <w:pPr>
        <w:pStyle w:val="ListBullet"/>
      </w:pPr>
      <w:r>
        <w:rPr>
          <w:color w:val="555555"/>
          <w:sz w:val="18"/>
        </w:rPr>
        <w:t>SkyQuest Technology, Events Industry Market (2025)</w:t>
      </w:r>
    </w:p>
    <w:p>
      <w:pPr>
        <w:pStyle w:val="ListBullet"/>
      </w:pPr>
      <w:r>
        <w:rPr>
          <w:color w:val="555555"/>
          <w:sz w:val="18"/>
        </w:rPr>
        <w:t>Technavio, Events Industry Market Growth (2025)</w:t>
      </w:r>
    </w:p>
    <w:p>
      <w:pPr>
        <w:pStyle w:val="ListBullet"/>
      </w:pPr>
      <w:r>
        <w:rPr>
          <w:color w:val="555555"/>
          <w:sz w:val="18"/>
        </w:rPr>
        <w:t>Expert Market Research, Events Industry (2025)</w:t>
      </w:r>
    </w:p>
    <w:p>
      <w:pPr>
        <w:pStyle w:val="ListBullet"/>
      </w:pPr>
      <w:r>
        <w:rPr>
          <w:color w:val="555555"/>
          <w:sz w:val="18"/>
        </w:rPr>
        <w:t>Mordor Intelligence, Online Event Ticketing (2025)</w:t>
      </w:r>
    </w:p>
    <w:p>
      <w:pPr>
        <w:pStyle w:val="ListBullet"/>
      </w:pPr>
      <w:r>
        <w:rPr>
          <w:color w:val="555555"/>
          <w:sz w:val="18"/>
        </w:rPr>
        <w:t>Grand View Research, Online Event Ticketing (2025)</w:t>
      </w:r>
    </w:p>
    <w:p>
      <w:pPr>
        <w:pStyle w:val="ListBullet"/>
      </w:pPr>
      <w:r>
        <w:rPr>
          <w:color w:val="555555"/>
          <w:sz w:val="18"/>
        </w:rPr>
        <w:t>SNS Insider, Online Event Ticketing (2025)</w:t>
      </w:r>
    </w:p>
    <w:p>
      <w:pPr>
        <w:pStyle w:val="ListBullet"/>
      </w:pPr>
      <w:r>
        <w:rPr>
          <w:color w:val="555555"/>
          <w:sz w:val="18"/>
        </w:rPr>
        <w:t>Expert Market Research, US Conferences/Concerts/Events (2025)</w:t>
      </w:r>
    </w:p>
    <w:p>
      <w:pPr>
        <w:pStyle w:val="Heading2"/>
      </w:pPr>
      <w:r>
        <w:t>Live Events and Entertainment</w:t>
      </w:r>
    </w:p>
    <w:p>
      <w:pPr>
        <w:pStyle w:val="ListBullet"/>
      </w:pPr>
      <w:r>
        <w:rPr>
          <w:color w:val="555555"/>
          <w:sz w:val="18"/>
        </w:rPr>
        <w:t>Live Nation, Full Year 2025 Results (Feb 2026)</w:t>
      </w:r>
    </w:p>
    <w:p>
      <w:pPr>
        <w:pStyle w:val="ListBullet"/>
      </w:pPr>
      <w:r>
        <w:rPr>
          <w:color w:val="555555"/>
          <w:sz w:val="18"/>
        </w:rPr>
        <w:t>Billboard, Live Nation 2025 Earnings (2026)</w:t>
      </w:r>
    </w:p>
    <w:p>
      <w:pPr>
        <w:pStyle w:val="ListBullet"/>
      </w:pPr>
      <w:r>
        <w:rPr>
          <w:color w:val="555555"/>
          <w:sz w:val="18"/>
        </w:rPr>
        <w:t>Global Growth Insights, Music Festival Market (2025)</w:t>
      </w:r>
    </w:p>
    <w:p>
      <w:pPr>
        <w:pStyle w:val="ListBullet"/>
      </w:pPr>
      <w:r>
        <w:rPr>
          <w:color w:val="555555"/>
          <w:sz w:val="18"/>
        </w:rPr>
        <w:t>Intel Market Research, Live Concert Market (2025)</w:t>
      </w:r>
    </w:p>
    <w:p>
      <w:pPr>
        <w:pStyle w:val="ListBullet"/>
      </w:pPr>
      <w:r>
        <w:rPr>
          <w:color w:val="555555"/>
          <w:sz w:val="18"/>
        </w:rPr>
        <w:t>Grand View Research, Music Tourism Market (2024)</w:t>
      </w:r>
    </w:p>
    <w:p>
      <w:pPr>
        <w:pStyle w:val="Heading2"/>
      </w:pPr>
      <w:r>
        <w:t>Experience Economy</w:t>
      </w:r>
    </w:p>
    <w:p>
      <w:pPr>
        <w:pStyle w:val="ListBullet"/>
      </w:pPr>
      <w:r>
        <w:rPr>
          <w:color w:val="555555"/>
          <w:sz w:val="18"/>
        </w:rPr>
        <w:t>Marketing Dive, Experiential Marketing Spending (2024)</w:t>
      </w:r>
    </w:p>
    <w:p>
      <w:pPr>
        <w:pStyle w:val="ListBullet"/>
      </w:pPr>
      <w:r>
        <w:rPr>
          <w:color w:val="555555"/>
          <w:sz w:val="18"/>
        </w:rPr>
        <w:t>ATN Event Staffing, Experiential Marketing Statistics (2025)</w:t>
      </w:r>
    </w:p>
    <w:p>
      <w:pPr>
        <w:pStyle w:val="ListBullet"/>
      </w:pPr>
      <w:r>
        <w:rPr>
          <w:color w:val="555555"/>
          <w:sz w:val="18"/>
        </w:rPr>
        <w:t>G2, Experiential Marketing Statistics (2025)</w:t>
      </w:r>
    </w:p>
    <w:p>
      <w:pPr>
        <w:pStyle w:val="ListBullet"/>
      </w:pPr>
      <w:r>
        <w:rPr>
          <w:color w:val="555555"/>
          <w:sz w:val="18"/>
        </w:rPr>
        <w:t>GWI, Consumer Spending Trends (2025)</w:t>
      </w:r>
    </w:p>
    <w:p>
      <w:pPr>
        <w:pStyle w:val="ListBullet"/>
      </w:pPr>
      <w:r>
        <w:rPr>
          <w:color w:val="555555"/>
          <w:sz w:val="18"/>
        </w:rPr>
        <w:t>US Bureau of Labor Statistics, Consumer Expenditure Survey (2023)</w:t>
      </w:r>
    </w:p>
    <w:p>
      <w:pPr>
        <w:pStyle w:val="ListBullet"/>
      </w:pPr>
      <w:r>
        <w:rPr>
          <w:color w:val="555555"/>
          <w:sz w:val="18"/>
        </w:rPr>
        <w:t>Empower, Consumer Experience Spending (2025)</w:t>
      </w:r>
    </w:p>
    <w:p>
      <w:pPr>
        <w:pStyle w:val="ListBullet"/>
      </w:pPr>
      <w:r>
        <w:rPr>
          <w:color w:val="555555"/>
          <w:sz w:val="18"/>
        </w:rPr>
        <w:t>WiseGuy Reports, Experience Economy Market (2025)</w:t>
      </w:r>
    </w:p>
    <w:p>
      <w:pPr>
        <w:pStyle w:val="Heading2"/>
      </w:pPr>
      <w:r>
        <w:t>Gen Z</w:t>
      </w:r>
    </w:p>
    <w:p>
      <w:pPr>
        <w:pStyle w:val="ListBullet"/>
      </w:pPr>
      <w:r>
        <w:rPr>
          <w:color w:val="555555"/>
          <w:sz w:val="18"/>
        </w:rPr>
        <w:t>Bank of America Institute, Gen Z: A New Economic Force (March 2025)</w:t>
      </w:r>
    </w:p>
    <w:p>
      <w:pPr>
        <w:pStyle w:val="ListBullet"/>
      </w:pPr>
      <w:r>
        <w:rPr>
          <w:color w:val="555555"/>
          <w:sz w:val="18"/>
        </w:rPr>
        <w:t>MERGE, Gen Z Event-Driven Overspending Study (July 2024)</w:t>
      </w:r>
    </w:p>
    <w:p>
      <w:pPr>
        <w:pStyle w:val="ListBullet"/>
      </w:pPr>
      <w:r>
        <w:rPr>
          <w:color w:val="555555"/>
          <w:sz w:val="18"/>
        </w:rPr>
        <w:t>PwC, Gen Z Consumer Trends (2025)</w:t>
      </w:r>
    </w:p>
    <w:p>
      <w:pPr>
        <w:pStyle w:val="ListBullet"/>
      </w:pPr>
      <w:r>
        <w:rPr>
          <w:color w:val="555555"/>
          <w:sz w:val="18"/>
        </w:rPr>
        <w:t>Eventbrite, Fourth Spaces Report (Jan 2025)</w:t>
      </w:r>
    </w:p>
    <w:p>
      <w:pPr>
        <w:pStyle w:val="ListBullet"/>
      </w:pPr>
      <w:r>
        <w:rPr>
          <w:color w:val="555555"/>
          <w:sz w:val="18"/>
        </w:rPr>
        <w:t>Eventbrite, Reset to Real Social Study (Jan 2026)</w:t>
      </w:r>
    </w:p>
    <w:p>
      <w:pPr>
        <w:pStyle w:val="ListBullet"/>
      </w:pPr>
      <w:r>
        <w:rPr>
          <w:color w:val="555555"/>
          <w:sz w:val="18"/>
        </w:rPr>
        <w:t>Eventbrite/Harris Poll, Millennials Fueling the Experience Economy</w:t>
      </w:r>
    </w:p>
    <w:p>
      <w:pPr>
        <w:pStyle w:val="Heading2"/>
      </w:pPr>
      <w:r>
        <w:t>Gen X</w:t>
      </w:r>
    </w:p>
    <w:p>
      <w:pPr>
        <w:pStyle w:val="ListBullet"/>
      </w:pPr>
      <w:r>
        <w:rPr>
          <w:color w:val="555555"/>
          <w:sz w:val="18"/>
        </w:rPr>
        <w:t>NielsenIQ, The X Factor: Gen X Report (2025)</w:t>
      </w:r>
    </w:p>
    <w:p>
      <w:pPr>
        <w:pStyle w:val="ListBullet"/>
      </w:pPr>
      <w:r>
        <w:rPr>
          <w:color w:val="555555"/>
          <w:sz w:val="18"/>
        </w:rPr>
        <w:t>Visual Capitalist, Global Spending Power by Generation</w:t>
      </w:r>
    </w:p>
    <w:p>
      <w:pPr>
        <w:pStyle w:val="Heading2"/>
      </w:pPr>
      <w:r>
        <w:t>Loneliness and Digital Fatigue</w:t>
      </w:r>
    </w:p>
    <w:p>
      <w:pPr>
        <w:pStyle w:val="ListBullet"/>
      </w:pPr>
      <w:r>
        <w:rPr>
          <w:color w:val="555555"/>
          <w:sz w:val="18"/>
        </w:rPr>
        <w:t>U.S. Surgeon General, Our Epidemic of Loneliness and Isolation (May 2023)</w:t>
      </w:r>
    </w:p>
    <w:p>
      <w:pPr>
        <w:pStyle w:val="ListBullet"/>
      </w:pPr>
      <w:r>
        <w:rPr>
          <w:color w:val="555555"/>
          <w:sz w:val="18"/>
        </w:rPr>
        <w:t>Harvard Graduate School of Education, Causes of Loneliness (Oct 2024)</w:t>
      </w:r>
    </w:p>
    <w:p>
      <w:pPr>
        <w:pStyle w:val="ListBullet"/>
      </w:pPr>
      <w:r>
        <w:rPr>
          <w:color w:val="555555"/>
          <w:sz w:val="18"/>
        </w:rPr>
        <w:t>Reviews.org, Screen Time Statistics (2025)</w:t>
      </w:r>
    </w:p>
    <w:p>
      <w:pPr>
        <w:pStyle w:val="ListBullet"/>
      </w:pPr>
      <w:r>
        <w:rPr>
          <w:color w:val="555555"/>
          <w:sz w:val="18"/>
        </w:rPr>
        <w:t>HarmonyHit, Phone Screen Time Statistics (2025)</w:t>
      </w:r>
    </w:p>
    <w:p>
      <w:pPr>
        <w:pStyle w:val="ListBullet"/>
      </w:pPr>
      <w:r>
        <w:rPr>
          <w:color w:val="555555"/>
          <w:sz w:val="18"/>
        </w:rPr>
        <w:t>ElectroIQ, Digital Detox Statistics (2025)</w:t>
      </w:r>
    </w:p>
    <w:p>
      <w:pPr>
        <w:pStyle w:val="ListBullet"/>
      </w:pPr>
      <w:r>
        <w:rPr>
          <w:color w:val="555555"/>
          <w:sz w:val="18"/>
        </w:rPr>
        <w:t>CNBC, Dating Apps and Gen Z In-Person Events (March 2025)</w:t>
      </w:r>
    </w:p>
    <w:p>
      <w:pPr>
        <w:pStyle w:val="ListBullet"/>
      </w:pPr>
      <w:r>
        <w:rPr>
          <w:color w:val="555555"/>
          <w:sz w:val="18"/>
        </w:rPr>
        <w:t>Hinge, Social Groups Investment (2024)</w:t>
      </w:r>
    </w:p>
    <w:p>
      <w:pPr>
        <w:pStyle w:val="ListBullet"/>
      </w:pPr>
      <w:r>
        <w:rPr>
          <w:color w:val="555555"/>
          <w:sz w:val="18"/>
        </w:rPr>
        <w:t>ICSC, Rise of Third Places (2025)</w:t>
      </w:r>
    </w:p>
    <w:p>
      <w:pPr>
        <w:pStyle w:val="Heading2"/>
      </w:pPr>
      <w:r>
        <w:t>AI Agents</w:t>
      </w:r>
    </w:p>
    <w:p>
      <w:pPr>
        <w:pStyle w:val="ListBullet"/>
      </w:pPr>
      <w:r>
        <w:rPr>
          <w:color w:val="555555"/>
          <w:sz w:val="18"/>
        </w:rPr>
        <w:t>Grand View Research, AI Agents Market (2025)</w:t>
      </w:r>
    </w:p>
    <w:p>
      <w:pPr>
        <w:pStyle w:val="ListBullet"/>
      </w:pPr>
      <w:r>
        <w:rPr>
          <w:color w:val="555555"/>
          <w:sz w:val="18"/>
        </w:rPr>
        <w:t>MarketsandMarkets, AI Agents Market (2025)</w:t>
      </w:r>
    </w:p>
    <w:p>
      <w:pPr>
        <w:pStyle w:val="ListBullet"/>
      </w:pPr>
      <w:r>
        <w:rPr>
          <w:color w:val="555555"/>
          <w:sz w:val="18"/>
        </w:rPr>
        <w:t>Gartner, AI Agents Predictions (Nov 2025, Aug 2025, Jan 2026)</w:t>
      </w:r>
    </w:p>
    <w:p>
      <w:pPr>
        <w:pStyle w:val="ListBullet"/>
      </w:pPr>
      <w:r>
        <w:rPr>
          <w:color w:val="555555"/>
          <w:sz w:val="18"/>
        </w:rPr>
        <w:t>Travala / Statista, AI for Travel Planning (2025)</w:t>
      </w:r>
    </w:p>
    <w:p>
      <w:pPr>
        <w:pStyle w:val="ListBullet"/>
      </w:pPr>
      <w:r>
        <w:rPr>
          <w:color w:val="555555"/>
          <w:sz w:val="18"/>
        </w:rPr>
        <w:t>SevenRooms, AI in Restaurant Booking (2025)</w:t>
      </w:r>
    </w:p>
    <w:p>
      <w:pPr>
        <w:pStyle w:val="ListBullet"/>
      </w:pPr>
      <w:r>
        <w:rPr>
          <w:color w:val="555555"/>
          <w:sz w:val="18"/>
        </w:rPr>
        <w:t>Skift, Google Agentic Travel Booking (Nov 2025)</w:t>
      </w:r>
    </w:p>
    <w:p>
      <w:pPr>
        <w:pStyle w:val="ListBullet"/>
      </w:pPr>
      <w:r>
        <w:rPr>
          <w:color w:val="555555"/>
          <w:sz w:val="18"/>
        </w:rPr>
        <w:t>Sanbi.ai, Agentic Commerce Guide (2026)</w:t>
      </w:r>
    </w:p>
    <w:p>
      <w:pPr>
        <w:pStyle w:val="Heading2"/>
      </w:pPr>
      <w:r>
        <w:t>Event Discovery and Social Media</w:t>
      </w:r>
    </w:p>
    <w:p>
      <w:pPr>
        <w:pStyle w:val="ListBullet"/>
      </w:pPr>
      <w:r>
        <w:rPr>
          <w:color w:val="555555"/>
          <w:sz w:val="18"/>
        </w:rPr>
        <w:t>Soci.ai, TikTok Search Revolution (2025)</w:t>
      </w:r>
    </w:p>
    <w:p>
      <w:pPr>
        <w:pStyle w:val="ListBullet"/>
      </w:pPr>
      <w:r>
        <w:rPr>
          <w:color w:val="555555"/>
          <w:sz w:val="18"/>
        </w:rPr>
        <w:t>Morning Consult, TikTok Becoming Google for Gen Z</w:t>
      </w:r>
    </w:p>
    <w:p>
      <w:pPr>
        <w:pStyle w:val="ListBullet"/>
      </w:pPr>
      <w:r>
        <w:rPr>
          <w:color w:val="555555"/>
          <w:sz w:val="18"/>
        </w:rPr>
        <w:t>MiDiA Research, Gen Z Social Habits and Music Discovery</w:t>
      </w:r>
    </w:p>
    <w:p>
      <w:pPr>
        <w:pStyle w:val="ListBullet"/>
      </w:pPr>
      <w:r>
        <w:rPr>
          <w:color w:val="555555"/>
          <w:sz w:val="18"/>
        </w:rPr>
        <w:t>eMarketer, Gen Z TikTok and Instagram Product Discovery</w:t>
      </w:r>
    </w:p>
    <w:p>
      <w:pPr>
        <w:pStyle w:val="ListBullet"/>
      </w:pPr>
      <w:r>
        <w:rPr>
          <w:color w:val="555555"/>
          <w:sz w:val="18"/>
        </w:rPr>
        <w:t>MDPI, Gen Z Social Media and Music Festival Experiences (2025)</w:t>
      </w:r>
    </w:p>
    <w:p>
      <w:pPr>
        <w:pStyle w:val="Heading2"/>
      </w:pPr>
      <w:r>
        <w:t>Platform and Industry</w:t>
      </w:r>
    </w:p>
    <w:p>
      <w:pPr>
        <w:pStyle w:val="ListBullet"/>
      </w:pPr>
      <w:r>
        <w:rPr>
          <w:color w:val="555555"/>
          <w:sz w:val="18"/>
        </w:rPr>
        <w:t>Eventbrite, Q4 2024 Earnings</w:t>
      </w:r>
    </w:p>
    <w:p>
      <w:pPr>
        <w:pStyle w:val="ListBullet"/>
      </w:pPr>
      <w:r>
        <w:rPr>
          <w:color w:val="555555"/>
          <w:sz w:val="18"/>
        </w:rPr>
        <w:t>Technavio, Corporate Event Market (2025)</w:t>
      </w:r>
    </w:p>
    <w:p>
      <w:pPr>
        <w:pStyle w:val="ListBullet"/>
      </w:pPr>
      <w:r>
        <w:rPr>
          <w:color w:val="555555"/>
          <w:sz w:val="18"/>
        </w:rPr>
        <w:t>WaveCNCT, Trade Show Statistics (2026)</w:t>
      </w:r>
    </w:p>
    <w:p>
      <w:pPr>
        <w:pStyle w:val="ListBullet"/>
      </w:pPr>
      <w:r>
        <w:rPr>
          <w:color w:val="555555"/>
          <w:sz w:val="18"/>
        </w:rPr>
        <w:t>DOJ v. Live Nation (2024), Antitrust Complaint</w:t>
      </w:r>
    </w:p>
    <w:p>
      <w:pPr>
        <w:pStyle w:val="ListBullet"/>
      </w:pPr>
      <w:r>
        <w:rPr>
          <w:color w:val="555555"/>
          <w:sz w:val="18"/>
        </w:rPr>
        <w:t>Mastercard, Europe's Experience Economy (2025)</w:t>
      </w:r>
    </w:p>
    <w:p/>
    <w:p>
      <w:pPr>
        <w:spacing w:before="240" w:after="240"/>
        <w:pBdr>
          <w:bottom w:val="single" w:sz="4" w:space="1" w:color="CCCCCC"/>
        </w:pBdr>
      </w:pPr>
    </w:p>
    <w:p>
      <w:r>
        <w:rPr>
          <w:i/>
          <w:color w:val="999999"/>
          <w:sz w:val="18"/>
        </w:rPr>
        <w:t>This document is a living reference. Data points should be reverified quarterly as new industry reports are published. Market sizing figures vary by source and methodology; ranges are provided where estimates diverge significantly.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C3E6B"/>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4E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A1A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40"/>
      <w:ind w:left="283"/>
    </w:pPr>
    <w:rPr>
      <w:rFonts w:ascii="Calibri" w:hAnsi="Calibri"/>
      <w:color w:val="666666"/>
      <w:sz w:val="18"/>
    </w:rPr>
  </w:style>
  <w:style w:type="paragraph" w:customStyle="1" w:styleId="KeyStat">
    <w:name w:val="KeyStat"/>
    <w:pPr>
      <w:spacing w:after="80"/>
      <w:ind w:left="283"/>
    </w:pPr>
    <w:rPr>
      <w:rFonts w:ascii="Calibri" w:hAnsi="Calibri"/>
      <w:color w:val="1A1A2E"/>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