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KaiTi"/>
          <w:b/>
          <w:sz w:val="28"/>
        </w:rPr>
        <w:t>Windows APP 安装与运行说明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1. 适用范围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Windows APP 是平台启动器和局域网客户端。AI 训练、CVAT、摄像头采集和主数据库建议继续运行在 DGX/Linux 主机；Windows 负责启动、打开网页、查看视频、标注和下载交付结果。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2. 安装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将 Windows 交付 ZIP 解压到英文或中文均可的固定目录，例如 </w:t>
      </w:r>
      <w:r>
        <w:rPr>
          <w:rFonts w:ascii="Times New Roman" w:hAnsi="Times New Roman" w:eastAsia="KaiTi"/>
          <w:b/>
          <w:sz w:val="28"/>
        </w:rPr>
        <w:t>D:\soplzp0820_20260820</w:t>
      </w:r>
      <w:r>
        <w:rPr>
          <w:rFonts w:ascii="Times New Roman" w:hAnsi="Times New Roman" w:eastAsia="KaiTi"/>
          <w:b w:val="0"/>
          <w:sz w:val="28"/>
        </w:rPr>
        <w:t xml:space="preserve">。不要直接在压缩包中双击 EXE。确认目录中包含 </w:t>
      </w:r>
      <w:r>
        <w:rPr>
          <w:rFonts w:ascii="Times New Roman" w:hAnsi="Times New Roman" w:eastAsia="KaiTi"/>
          <w:b/>
          <w:sz w:val="28"/>
        </w:rPr>
        <w:t>SOP平台.exe</w:t>
      </w:r>
      <w:r>
        <w:rPr>
          <w:rFonts w:ascii="Times New Roman" w:hAnsi="Times New Roman" w:eastAsia="KaiTi"/>
          <w:b w:val="0"/>
          <w:sz w:val="28"/>
        </w:rPr>
        <w:t>、平台源码、启动脚本、文档和校验文件。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首次使用先核对 </w:t>
      </w:r>
      <w:r>
        <w:rPr>
          <w:rFonts w:ascii="Times New Roman" w:hAnsi="Times New Roman" w:eastAsia="KaiTi"/>
          <w:b/>
          <w:sz w:val="28"/>
        </w:rPr>
        <w:t>SHA256SUMS.txt</w:t>
      </w:r>
      <w:r>
        <w:rPr>
          <w:rFonts w:ascii="Times New Roman" w:hAnsi="Times New Roman" w:eastAsia="KaiTi"/>
          <w:b w:val="0"/>
          <w:sz w:val="28"/>
        </w:rPr>
        <w:t>。Windows Defender 若提示未知发布者，应由公司 IT 核对哈希后放行，不要关闭整机防病毒功能。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3. 启动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双击 </w:t>
      </w:r>
      <w:r>
        <w:rPr>
          <w:rFonts w:ascii="Times New Roman" w:hAnsi="Times New Roman" w:eastAsia="KaiTi"/>
          <w:b/>
          <w:sz w:val="28"/>
        </w:rPr>
        <w:t>SOP平台.exe</w:t>
      </w:r>
      <w:r>
        <w:rPr>
          <w:rFonts w:ascii="Times New Roman" w:hAnsi="Times New Roman" w:eastAsia="KaiTi"/>
          <w:b w:val="0"/>
          <w:sz w:val="28"/>
        </w:rPr>
        <w:t xml:space="preserve">。启动器会检查本地组件，并打开平台地址。DGX 部署模式下使用 </w:t>
      </w:r>
      <w:r>
        <w:rPr>
          <w:rFonts w:ascii="Times New Roman" w:hAnsi="Times New Roman" w:eastAsia="KaiTi"/>
          <w:b/>
          <w:sz w:val="28"/>
        </w:rPr>
        <w:t>http://192.168.1.129:8096</w:t>
      </w:r>
      <w:r>
        <w:rPr>
          <w:rFonts w:ascii="Times New Roman" w:hAnsi="Times New Roman" w:eastAsia="KaiTi"/>
          <w:b w:val="0"/>
          <w:sz w:val="28"/>
        </w:rPr>
        <w:t xml:space="preserve">；CVAT 使用 </w:t>
      </w:r>
      <w:r>
        <w:rPr>
          <w:rFonts w:ascii="Times New Roman" w:hAnsi="Times New Roman" w:eastAsia="KaiTi"/>
          <w:b/>
          <w:sz w:val="28"/>
        </w:rPr>
        <w:t>http://192.168.1.129:8081</w:t>
      </w:r>
      <w:r>
        <w:rPr>
          <w:rFonts w:ascii="Times New Roman" w:hAnsi="Times New Roman" w:eastAsia="KaiTi"/>
          <w:b w:val="0"/>
          <w:sz w:val="28"/>
        </w:rPr>
        <w:t>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开发者、管理者和员工使用各自的平台账号。CVAT 账号与 SOP 平台账号相互独立。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4. 网络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Windows 与 DGX 必须在可互通的同一局域网。2.4 GHz 与 5 GHz 名称可以不同，但不得启用客户端隔离。可在 Windows PowerShell 执行：</w:t>
      </w:r>
    </w:p>
    <w:p>
      <w:pPr>
        <w:spacing w:line="360" w:lineRule="auto" w:after="120"/>
        <w:ind w:left="360"/>
      </w:pPr>
      <w:r>
        <w:rPr>
          <w:rFonts w:ascii="Times New Roman" w:hAnsi="Times New Roman" w:eastAsia="KaiTi"/>
          <w:b w:val="0"/>
          <w:sz w:val="28"/>
        </w:rPr>
        <w:t>Test-NetConnection 192.168.1.129 -Port 8096</w:t>
      </w:r>
    </w:p>
    <w:p>
      <w:pPr>
        <w:spacing w:line="360" w:lineRule="auto" w:after="120"/>
        <w:ind w:left="360"/>
      </w:pPr>
      <w:r>
        <w:rPr>
          <w:rFonts w:ascii="Times New Roman" w:hAnsi="Times New Roman" w:eastAsia="KaiTi"/>
          <w:b w:val="0"/>
          <w:sz w:val="28"/>
        </w:rPr>
        <w:t>Test-NetConnection 192.168.1.129 -Port 8081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 xml:space="preserve">若测试失败，检查本机 IP、网关、防火墙、VLAN 和 DGX 服务监听地址。平台必须监听 </w:t>
      </w:r>
      <w:r>
        <w:rPr>
          <w:rFonts w:ascii="Times New Roman" w:hAnsi="Times New Roman" w:eastAsia="KaiTi"/>
          <w:b/>
          <w:sz w:val="28"/>
        </w:rPr>
        <w:t>0.0.0.0</w:t>
      </w:r>
      <w:r>
        <w:rPr>
          <w:rFonts w:ascii="Times New Roman" w:hAnsi="Times New Roman" w:eastAsia="KaiTi"/>
          <w:b w:val="0"/>
          <w:sz w:val="28"/>
        </w:rPr>
        <w:t xml:space="preserve">，不能只监听 </w:t>
      </w:r>
      <w:r>
        <w:rPr>
          <w:rFonts w:ascii="Times New Roman" w:hAnsi="Times New Roman" w:eastAsia="KaiTi"/>
          <w:b/>
          <w:sz w:val="28"/>
        </w:rPr>
        <w:t>127.0.0.1</w:t>
      </w:r>
      <w:r>
        <w:rPr>
          <w:rFonts w:ascii="Times New Roman" w:hAnsi="Times New Roman" w:eastAsia="KaiTi"/>
          <w:b w:val="0"/>
          <w:sz w:val="28"/>
        </w:rPr>
        <w:t>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5. 日常操作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进入总览查看服务状态；进入现场监控启动摄像头；在 CVAT 标注页保存关键帧和任务进度；管理者在训练页选择人工真值数据并启动真实训练；训练完成后下载 Jetson/服务器部署包。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关闭浏览器不会停止 DGX 上的训练或 CVAT 解码任务。重新登录后可按任务号查看状态。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6. 故障处理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EXE 无法启动：检查解压是否完整、运行库和文件权限，并查看同目录日志。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网页能开但摄像头不能用：摄像头接在 DGX 上时由 DGX 采集，Windows 浏览器不直接占用 USB 相机。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页面卡顿：优先使用有线网络或稳定 5 GHz，关闭浏览器中其他高码率视频页。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无法训练：训练需要管理者权限、可用 CUDA GPU、真实数据 YAML 和已审核标签。</w:t>
      </w:r>
    </w:p>
    <w:p>
      <w:pPr>
        <w:pStyle w:val="ListBullet"/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下载包不完整：重新下载并核对 SHA-256，不要使用部分下载文件。</w:t>
      </w:r>
    </w:p>
    <w:p>
      <w:pPr>
        <w:keepNext/>
        <w:spacing w:before="240" w:line="360" w:lineRule="auto" w:after="120"/>
      </w:pPr>
      <w:r>
        <w:rPr>
          <w:rFonts w:ascii="Times New Roman" w:hAnsi="Times New Roman" w:eastAsia="KaiTi"/>
          <w:b/>
          <w:sz w:val="28"/>
        </w:rPr>
        <w:t>7. 卸载与数据保留</w:t>
      </w:r>
    </w:p>
    <w:p>
      <w:pPr>
        <w:spacing w:line="360" w:lineRule="auto" w:after="120"/>
      </w:pPr>
      <w:r>
        <w:rPr>
          <w:rFonts w:ascii="Times New Roman" w:hAnsi="Times New Roman" w:eastAsia="KaiTi"/>
          <w:b w:val="0"/>
          <w:sz w:val="28"/>
        </w:rPr>
        <w:t>删除 Windows 客户端目录只删除本地启动器和副本，不会删除 DGX 的数据库、CVAT 项目或模型。需要删除服务器数据时必须由开发者先备份并按变更流程执行。</w:t>
      </w:r>
    </w:p>
    <w:sectPr w:rsidR="00FC693F" w:rsidRPr="0006063C" w:rsidSect="00034616">
      <w:pgSz w:w="12240" w:h="15840"/>
      <w:pgMar w:top="1120" w:right="1240" w:bottom="1120" w:left="1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</w:pPr>
    <w:rPr>
      <w:rFonts w:ascii="Times New Roman" w:hAnsi="Times New Roman" w:eastAsia="KaiT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