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SLD-水果市场销售分析</w:t>
      </w:r>
    </w:p>
    <w:p>
      <w:pPr>
        <w:pStyle w:val="Subtitle"/>
      </w:pPr>
      <w:r>
        <w:t>功能说明书</w:t>
      </w:r>
    </w:p>
    <w:p>
      <w:pPr/>
      <w:r>
        <w:t>文档版本：V1.6  |  编制日期：2026-09-21  |  适用系统：当前仓库 dev 分支</w:t>
      </w:r>
    </w:p>
    <w:p>
      <w:pPr/>
      <w:r>
        <w:t>本文档基于现有已实现功能整理，用于使用、验收、培训与后续迭代。</w:t>
      </w:r>
    </w:p>
    <w:p>
      <w:pPr>
        <w:pStyle w:val="Heading1"/>
      </w:pPr>
      <w:r>
        <w:t>目录</w:t>
      </w:r>
    </w:p>
    <w:p>
      <w:pPr>
        <w:pStyle w:val="ListNumber"/>
      </w:pPr>
      <w:r>
        <w:t>文档说明</w:t>
      </w:r>
    </w:p>
    <w:p>
      <w:pPr>
        <w:pStyle w:val="ListNumber"/>
      </w:pPr>
      <w:r>
        <w:t>产品概述</w:t>
      </w:r>
    </w:p>
    <w:p>
      <w:pPr>
        <w:pStyle w:val="ListNumber"/>
      </w:pPr>
      <w:r>
        <w:t>用户与登录</w:t>
      </w:r>
    </w:p>
    <w:p>
      <w:pPr>
        <w:pStyle w:val="ListNumber"/>
      </w:pPr>
      <w:r>
        <w:t>工作台与导航</w:t>
      </w:r>
    </w:p>
    <w:p>
      <w:pPr>
        <w:pStyle w:val="ListNumber"/>
      </w:pPr>
      <w:r>
        <w:t>数据录入</w:t>
      </w:r>
    </w:p>
    <w:p>
      <w:pPr>
        <w:pStyle w:val="ListNumber"/>
      </w:pPr>
      <w:r>
        <w:t>销售总览</w:t>
      </w:r>
    </w:p>
    <w:p>
      <w:pPr>
        <w:pStyle w:val="ListNumber"/>
      </w:pPr>
      <w:r>
        <w:t>数据明细</w:t>
      </w:r>
    </w:p>
    <w:p>
      <w:pPr>
        <w:pStyle w:val="ListNumber"/>
      </w:pPr>
      <w:r>
        <w:t>结算单详情</w:t>
      </w:r>
    </w:p>
    <w:p>
      <w:pPr>
        <w:pStyle w:val="ListNumber"/>
      </w:pPr>
      <w:r>
        <w:t>结算单对比</w:t>
      </w:r>
    </w:p>
    <w:p>
      <w:pPr/>
      <w:r>
        <w:t>10. 品牌对比</w:t>
      </w:r>
    </w:p>
    <w:p>
      <w:pPr/>
      <w:r>
        <w:t>11. AI 分析与顺仔问答</w:t>
      </w:r>
    </w:p>
    <w:p>
      <w:pPr/>
      <w:r>
        <w:t>12. 数据导出与追溯</w:t>
      </w:r>
    </w:p>
    <w:p>
      <w:pPr/>
      <w:r>
        <w:t>13. 指标口径与业务规则</w:t>
      </w:r>
    </w:p>
    <w:p>
      <w:pPr/>
      <w:r>
        <w:t>14. 安全与权限</w:t>
      </w:r>
    </w:p>
    <w:p>
      <w:pPr/>
      <w:r>
        <w:t>15. 非功能特性</w:t>
      </w:r>
    </w:p>
    <w:p>
      <w:pPr/>
      <w:r>
        <w:t>16. 已知限制与后续计划</w:t>
      </w:r>
    </w:p>
    <w:p>
      <w:pPr/>
      <w:r>
        <w:t>17. 附录：功能与接口对照</w:t>
      </w:r>
    </w:p>
    <w:p>
      <w:pPr>
        <w:pStyle w:val="Heading1"/>
      </w:pPr>
      <w:r>
        <w:t>1. 文档说明</w:t>
      </w:r>
    </w:p>
    <w:p>
      <w:pPr>
        <w:pStyle w:val="Heading2"/>
      </w:pPr>
      <w:r>
        <w:t>1.1 文档目的</w:t>
      </w:r>
    </w:p>
    <w:p>
      <w:pPr/>
      <w:r>
        <w:t>本说明书描述 SLD-水果市场销售分析的现有功能、操作路径、业务规则和指标口径，帮助使用者快速理解系统能做什么、如何操作，并为验收和后续迭代提供统一依据。</w:t>
      </w:r>
    </w:p>
    <w:p>
      <w:pPr>
        <w:pStyle w:val="Heading2"/>
      </w:pPr>
      <w:r>
        <w:t>1.2 目标读者</w:t>
      </w:r>
    </w:p>
    <w:p>
      <w:pPr>
        <w:pStyle w:val="ListBullet"/>
      </w:pPr>
      <w:r>
        <w:t>使用者：果农、业务人员、管理人员，用于日常查看销售数据。</w:t>
      </w:r>
    </w:p>
    <w:p>
      <w:pPr>
        <w:pStyle w:val="ListBullet"/>
      </w:pPr>
      <w:r>
        <w:t>验收人员：用于按功能点逐项核对系统是否满足需求。</w:t>
      </w:r>
    </w:p>
    <w:p>
      <w:pPr>
        <w:pStyle w:val="ListBullet"/>
      </w:pPr>
      <w:r>
        <w:t>开发与维护人员：用于理解功能边界、指标口径和页面交互。</w:t>
      </w:r>
    </w:p>
    <w:p>
      <w:pPr>
        <w:pStyle w:val="Heading2"/>
      </w:pPr>
      <w:r>
        <w:t>1.3 术语说明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b/>
              </w:rPr>
              <w:t>术语</w:t>
            </w:r>
          </w:p>
        </w:tc>
        <w:tc>
          <w:tcPr>
            <w:tcW w:type="dxa" w:w="4759"/>
          </w:tcPr>
          <w:p>
            <w:r>
              <w:rPr>
                <w:b/>
              </w:rPr>
              <w:t>含义</w:t>
            </w:r>
          </w:p>
        </w:tc>
      </w:tr>
      <w:tr>
        <w:tc>
          <w:tcPr>
            <w:tcW w:type="dxa" w:w="4759"/>
          </w:tcPr>
          <w:p>
            <w:r>
              <w:t>结算单</w:t>
            </w:r>
          </w:p>
        </w:tc>
        <w:tc>
          <w:tcPr>
            <w:tcW w:type="dxa" w:w="4759"/>
          </w:tcPr>
          <w:p>
            <w:r>
              <w:t>以商号为唯一业务键的一批销售数据；系统中通常对应一张导入的结算单文件或一张手工录单。</w:t>
            </w:r>
          </w:p>
        </w:tc>
      </w:tr>
      <w:tr>
        <w:tc>
          <w:tcPr>
            <w:tcW w:type="dxa" w:w="4759"/>
          </w:tcPr>
          <w:p>
            <w:r>
              <w:t>商号</w:t>
            </w:r>
          </w:p>
        </w:tc>
        <w:tc>
          <w:tcPr>
            <w:tcW w:type="dxa" w:w="4759"/>
          </w:tcPr>
          <w:p>
            <w:r>
              <w:t>我司商业合同唯一单据号，例如 637、624。展示时可能去除前缀「单」，但唯一键和接口参数仍使用原始商号。</w:t>
            </w:r>
          </w:p>
        </w:tc>
      </w:tr>
      <w:tr>
        <w:tc>
          <w:tcPr>
            <w:tcW w:type="dxa" w:w="4759"/>
          </w:tcPr>
          <w:p>
            <w:r>
              <w:t>单号</w:t>
            </w:r>
          </w:p>
        </w:tc>
        <w:tc>
          <w:tcPr>
            <w:tcW w:type="dxa" w:w="4759"/>
          </w:tcPr>
          <w:p>
            <w:r>
              <w:t>客户侧单据号，例如 宝贝-001；系统同时保留原始单号与适配后单号。</w:t>
            </w:r>
          </w:p>
        </w:tc>
      </w:tr>
      <w:tr>
        <w:tc>
          <w:tcPr>
            <w:tcW w:type="dxa" w:w="4759"/>
          </w:tcPr>
          <w:p>
            <w:r>
              <w:t>柜号</w:t>
            </w:r>
          </w:p>
        </w:tc>
        <w:tc>
          <w:tcPr>
            <w:tcW w:type="dxa" w:w="4759"/>
          </w:tcPr>
          <w:p>
            <w:r>
              <w:t>车柜标识，允许为空且可重复。</w:t>
            </w:r>
          </w:p>
        </w:tc>
      </w:tr>
      <w:tr>
        <w:tc>
          <w:tcPr>
            <w:tcW w:type="dxa" w:w="4759"/>
          </w:tcPr>
          <w:p>
            <w:r>
              <w:t>等级</w:t>
            </w:r>
          </w:p>
        </w:tc>
        <w:tc>
          <w:tcPr>
            <w:tcW w:type="dxa" w:w="4759"/>
          </w:tcPr>
          <w:p>
            <w:r>
              <w:t>统计等级统一为 A、B、C 三级；原始 BC 等级归入 C，AB 默认独立，均可由管理端字段转换规则配置。</w:t>
            </w:r>
          </w:p>
        </w:tc>
      </w:tr>
      <w:tr>
        <w:tc>
          <w:tcPr>
            <w:tcW w:type="dxa" w:w="4759"/>
          </w:tcPr>
          <w:p>
            <w:r>
              <w:t>每件均价</w:t>
            </w:r>
          </w:p>
        </w:tc>
        <w:tc>
          <w:tcPr>
            <w:tcW w:type="dxa" w:w="4759"/>
          </w:tcPr>
          <w:p>
            <w:r>
              <w:t>筛选范围内销售金额 ÷ 销量（件），单位：元/件。</w:t>
            </w:r>
          </w:p>
        </w:tc>
      </w:tr>
      <w:tr>
        <w:tc>
          <w:tcPr>
            <w:tcW w:type="dxa" w:w="4759"/>
          </w:tcPr>
          <w:p>
            <w:r>
              <w:t>到达市场日期</w:t>
            </w:r>
          </w:p>
        </w:tc>
        <w:tc>
          <w:tcPr>
            <w:tcW w:type="dxa" w:w="4759"/>
          </w:tcPr>
          <w:p>
            <w:r>
              <w:t>结算单到达市场的日期，列表和详情中用于展示。</w:t>
            </w:r>
          </w:p>
        </w:tc>
      </w:tr>
      <w:tr>
        <w:tc>
          <w:tcPr>
            <w:tcW w:type="dxa" w:w="4759"/>
          </w:tcPr>
          <w:p>
            <w:r>
              <w:t>销售日期</w:t>
            </w:r>
          </w:p>
        </w:tc>
        <w:tc>
          <w:tcPr>
            <w:tcW w:type="dxa" w:w="4759"/>
          </w:tcPr>
          <w:p>
            <w:r>
              <w:t>界面筛选和统计使用的日期口径，按销售明细日期计算。</w:t>
            </w:r>
          </w:p>
        </w:tc>
      </w:tr>
    </w:tbl>
    <w:p>
      <w:pPr>
        <w:pStyle w:val="Heading1"/>
      </w:pPr>
      <w:r>
        <w:t>2. 产品概述</w:t>
      </w:r>
    </w:p>
    <w:p>
      <w:pPr/>
      <w:r>
        <w:t>SLD-水果市场销售分析是面向果农的水果销售分析工具。系统围绕 A/B/C 三级的销量、销售额、每件均价和数量占比，提供「录单/导入 → 二次确认 → 看板 → 单柜诊断 → 货柜/品牌对比 → 导出与顺仔问答」的完整链路；当前实现以结算单和品牌为分析主体。</w:t>
      </w:r>
    </w:p>
    <w:p>
      <w:pPr>
        <w:pStyle w:val="Heading2"/>
      </w:pPr>
      <w:r>
        <w:t>2.1 核心能力</w:t>
      </w:r>
    </w:p>
    <w:p>
      <w:pPr>
        <w:pStyle w:val="ListBullet"/>
      </w:pPr>
      <w:r>
        <w:t>多文件导入：支持多张 XLSX 结算单，先解析为待确认草稿，用户确认后才写入销售明细、结算摘要和导入问题。</w:t>
      </w:r>
    </w:p>
    <w:p>
      <w:pPr>
        <w:pStyle w:val="ListBullet"/>
      </w:pPr>
      <w:r>
        <w:t>手工录单：支持手工录入结算单基本信息、销售明细、售后明细、费用明细，并自动暂存到服务端草稿。</w:t>
      </w:r>
    </w:p>
    <w:p>
      <w:pPr>
        <w:pStyle w:val="ListBullet"/>
      </w:pPr>
      <w:r>
        <w:t>销售看板：按销售日期、国家和市场查看总柜数、总销售额、每件均价及等级结构与规格图表，并统计各品牌柜数。</w:t>
      </w:r>
    </w:p>
    <w:p>
      <w:pPr>
        <w:pStyle w:val="ListBullet"/>
      </w:pPr>
      <w:r>
        <w:t>数据明细：按商号查看结算单列表、销售明细、只读复核、删除结算单和按行导出。</w:t>
      </w:r>
    </w:p>
    <w:p>
      <w:pPr>
        <w:pStyle w:val="ListBullet"/>
      </w:pPr>
      <w:r>
        <w:t>单柜与对比：查看每一张结算单的基础信息、等级结构、售后费用、每日趋势和同品牌对比。</w:t>
      </w:r>
    </w:p>
    <w:p>
      <w:pPr>
        <w:pStyle w:val="ListBullet"/>
      </w:pPr>
      <w:r>
        <w:t>品牌对比：按同品牌结算单勾选组合，自动识别单号系列，输出 A/B/C 独立指标、价差、图表和 AI 解读。</w:t>
      </w:r>
    </w:p>
    <w:p>
      <w:pPr>
        <w:pStyle w:val="ListBullet"/>
      </w:pPr>
      <w:r>
        <w:t>等级细分：将原始等级写法拆成大等级、号别和品质标记，形成价格阶梯。</w:t>
      </w:r>
    </w:p>
    <w:p>
      <w:pPr>
        <w:pStyle w:val="ListBullet"/>
      </w:pPr>
      <w:r>
        <w:t>导出与追溯：导出总览 CSV、结算单列表/单张结算单/手工单的 XLSX 与 PDF，并追溯销售明细来源文件。</w:t>
      </w:r>
    </w:p>
    <w:p>
      <w:pPr>
        <w:pStyle w:val="ListBullet"/>
      </w:pPr>
      <w:r>
        <w:t>站内通知：集中展示管理端发布给当前用户的通知，支持未读角标、单条已读和全部已读。</w:t>
      </w:r>
    </w:p>
    <w:p>
      <w:pPr>
        <w:pStyle w:val="ListBullet"/>
      </w:pPr>
      <w:r>
        <w:t>数据问答：右下角悬浮机器人「顺仔」支持自然语言查询销量、排名、明细和对比。</w:t>
      </w:r>
    </w:p>
    <w:p>
      <w:pPr>
        <w:pStyle w:val="Heading2"/>
      </w:pPr>
      <w:r>
        <w:t>2.2 使用链路</w:t>
      </w:r>
    </w:p>
    <w:p>
      <w:pPr>
        <w:pStyle w:val="ListNumber"/>
      </w:pPr>
      <w:r>
        <w:t>注册或登录系统。</w:t>
      </w:r>
    </w:p>
    <w:p>
      <w:pPr>
        <w:pStyle w:val="ListNumber"/>
      </w:pPr>
      <w:r>
        <w:t>在「录单 / 导入」上传 XLSX 文件，或进入「手工录单」手动录入。</w:t>
      </w:r>
    </w:p>
    <w:p>
      <w:pPr>
        <w:pStyle w:val="ListNumber"/>
      </w:pPr>
      <w:r>
        <w:t>在「卖得怎么样」查看整体经营情况。</w:t>
      </w:r>
    </w:p>
    <w:p>
      <w:pPr>
        <w:pStyle w:val="ListNumber"/>
      </w:pPr>
      <w:r>
        <w:t>在「每一单」和「结算单详情」核对每一张结算单。</w:t>
      </w:r>
    </w:p>
    <w:p>
      <w:pPr>
        <w:pStyle w:val="ListNumber"/>
      </w:pPr>
      <w:r>
        <w:t>在「结算单对比」和「品牌对比」进行横向分析。</w:t>
      </w:r>
    </w:p>
    <w:p>
      <w:pPr>
        <w:pStyle w:val="ListNumber"/>
      </w:pPr>
      <w:r>
        <w:t>需要留存或上报时，使用导出功能生成文件。</w:t>
      </w:r>
    </w:p>
    <w:p>
      <w:pPr>
        <w:pStyle w:val="Heading1"/>
      </w:pPr>
      <w:r>
        <w:t>3. 用户与登录</w:t>
      </w:r>
    </w:p>
    <w:p>
      <w:pPr>
        <w:pStyle w:val="Heading2"/>
      </w:pPr>
      <w:r>
        <w:t>3.1 注册</w:t>
      </w:r>
    </w:p>
    <w:p>
      <w:pPr>
        <w:pStyle w:val="ListBullet"/>
      </w:pPr>
      <w:r>
        <w:t>用户以「用户名 + 密码 + 邮箱 + 邮箱验证码」注册，用户名最大 80 个字符，系统按忽略大小写去重。</w:t>
      </w:r>
    </w:p>
    <w:p>
      <w:pPr>
        <w:pStyle w:val="ListBullet"/>
      </w:pPr>
      <w:r>
        <w:t>密码至少 8 位，前端进行必填、长度和两次输入一致性校验。</w:t>
      </w:r>
    </w:p>
    <w:p>
      <w:pPr>
        <w:pStyle w:val="ListBullet"/>
      </w:pPr>
      <w:r>
        <w:t>注册前需输入有效邮箱并发送 6 位验证码，验证通过后才创建账号。</w:t>
      </w:r>
    </w:p>
    <w:p>
      <w:pPr>
        <w:pStyle w:val="ListBullet"/>
      </w:pPr>
      <w:r>
        <w:t>注册成功后自动创建登录会话，并跳转到原目标页面。</w:t>
      </w:r>
    </w:p>
    <w:p>
      <w:pPr>
        <w:pStyle w:val="Heading2"/>
      </w:pPr>
      <w:r>
        <w:t>3.2 登录与免登录</w:t>
      </w:r>
    </w:p>
    <w:p>
      <w:pPr>
        <w:pStyle w:val="ListBullet"/>
      </w:pPr>
      <w:r>
        <w:t>登录支持使用用户名或邮箱，用户名匹配忽略大小写。</w:t>
      </w:r>
    </w:p>
    <w:p>
      <w:pPr>
        <w:pStyle w:val="ListBullet"/>
      </w:pPr>
      <w:r>
        <w:t>默认登录有效期 7 天。</w:t>
      </w:r>
    </w:p>
    <w:p>
      <w:pPr>
        <w:pStyle w:val="ListBullet"/>
      </w:pPr>
      <w:r>
        <w:t>勾选「30 天内免登录」后，服务端会话与浏览器 Cookie 均延长至 30 天。</w:t>
      </w:r>
    </w:p>
    <w:p>
      <w:pPr>
        <w:pStyle w:val="ListBullet"/>
      </w:pPr>
      <w:r>
        <w:t>登录失败统一提示「用户名或密码错误」，避免泄露账号是否存在。</w:t>
      </w:r>
    </w:p>
    <w:p>
      <w:pPr>
        <w:pStyle w:val="ListBullet"/>
      </w:pPr>
      <w:r>
        <w:t>已禁用账号登录时提示「该用户已被禁用」。</w:t>
      </w:r>
    </w:p>
    <w:p>
      <w:pPr>
        <w:pStyle w:val="Heading2"/>
      </w:pPr>
      <w:r>
        <w:t>3.3 忘记密码</w:t>
      </w:r>
    </w:p>
    <w:p>
      <w:pPr>
        <w:pStyle w:val="ListBullet"/>
      </w:pPr>
      <w:r>
        <w:t>用户可在登录页进入「忘记密码」。</w:t>
      </w:r>
    </w:p>
    <w:p>
      <w:pPr>
        <w:pStyle w:val="ListBullet"/>
      </w:pPr>
      <w:r>
        <w:t>输入注册邮箱后发送 6 位验证码。</w:t>
      </w:r>
    </w:p>
    <w:p>
      <w:pPr>
        <w:pStyle w:val="ListBullet"/>
      </w:pPr>
      <w:r>
        <w:t>验证通过后设置新密码，完成后返回登录页。</w:t>
      </w:r>
    </w:p>
    <w:p>
      <w:pPr>
        <w:pStyle w:val="Heading2"/>
      </w:pPr>
      <w:r>
        <w:t>3.4 退出与鉴权</w:t>
      </w:r>
    </w:p>
    <w:p>
      <w:pPr>
        <w:pStyle w:val="ListBullet"/>
      </w:pPr>
      <w:r>
        <w:t>业务页面均要求登录；未登录访问时跳转登录页，并携带 redirect 返回地址。</w:t>
      </w:r>
    </w:p>
    <w:p>
      <w:pPr>
        <w:pStyle w:val="ListBullet"/>
      </w:pPr>
      <w:r>
        <w:t>退出登录会撤销服务端会话并删除 HttpOnly Cookie。</w:t>
      </w:r>
    </w:p>
    <w:p>
      <w:pPr>
        <w:pStyle w:val="ListBullet"/>
      </w:pPr>
      <w:r>
        <w:t>登录、注册页面对已登录用户自动跳转业务首页，避免重复登录。</w:t>
      </w:r>
    </w:p>
    <w:p>
      <w:pPr>
        <w:pStyle w:val="ListBullet"/>
      </w:pPr>
      <w:r>
        <w:t>无任何可访问菜单的账号登录后提示联系管理员授权。</w:t>
      </w:r>
    </w:p>
    <w:p>
      <w:pPr>
        <w:pStyle w:val="Heading1"/>
      </w:pPr>
      <w:r>
        <w:t>4. 工作台与导航</w:t>
      </w:r>
    </w:p>
    <w:p>
      <w:pPr>
        <w:pStyle w:val="Heading2"/>
      </w:pPr>
      <w:r>
        <w:t>4.1 主导航</w:t>
      </w:r>
    </w:p>
    <w:p>
      <w:pPr/>
      <w:r>
        <w:t>面向果农的主导航收敛为三个入口：</w:t>
      </w:r>
    </w:p>
    <w:p>
      <w:pPr>
        <w:pStyle w:val="ListBullet"/>
      </w:pPr>
      <w:r>
        <w:t>卖得怎么样：对应「销售总览」。</w:t>
      </w:r>
    </w:p>
    <w:p>
      <w:pPr>
        <w:pStyle w:val="ListBullet"/>
      </w:pPr>
      <w:r>
        <w:t>每一单：对应「数据明细」。</w:t>
      </w:r>
    </w:p>
    <w:p>
      <w:pPr>
        <w:pStyle w:val="ListBullet"/>
      </w:pPr>
      <w:r>
        <w:t>录单 / 导入：对应「文件导入」，并可从页头进入「手工录单」。</w:t>
      </w:r>
    </w:p>
    <w:p>
      <w:pPr/>
      <w:r>
        <w:t>其余功能收进「更多」：</w:t>
      </w:r>
    </w:p>
    <w:p>
      <w:pPr>
        <w:pStyle w:val="ListBullet"/>
      </w:pPr>
      <w:r>
        <w:t>结算单详情、结算单对比、品牌对比。</w:t>
      </w:r>
    </w:p>
    <w:p>
      <w:pPr>
        <w:pStyle w:val="Heading2"/>
      </w:pPr>
      <w:r>
        <w:t>4.2 工作台外壳</w:t>
      </w:r>
    </w:p>
    <w:p>
      <w:pPr>
        <w:pStyle w:val="ListBullet"/>
      </w:pPr>
      <w:r>
        <w:t>顶部 header 显示品牌标识、当前页面、本地日期/星期/时分秒、当前用户名和退出按钮；手机端只显示时分秒。</w:t>
      </w:r>
    </w:p>
    <w:p>
      <w:pPr>
        <w:pStyle w:val="ListBullet"/>
      </w:pPr>
      <w:r>
        <w:t>桌面端左侧导航可收起为图标栏，状态保存在 localStorage。</w:t>
      </w:r>
    </w:p>
    <w:p>
      <w:pPr>
        <w:pStyle w:val="ListBullet"/>
      </w:pPr>
      <w:r>
        <w:t>页签栏记录本次会话打开过的页面，首页固定不可关闭；其余页签可单个关闭或「关闭其他」。</w:t>
      </w:r>
    </w:p>
    <w:p>
      <w:pPr>
        <w:pStyle w:val="ListBullet"/>
      </w:pPr>
      <w:r>
        <w:t>页签状态只保留当前会话，登录或刷新后从首页重新开始，不缓存上次打开的页签。</w:t>
      </w:r>
    </w:p>
    <w:p>
      <w:pPr>
        <w:pStyle w:val="ListBullet"/>
      </w:pPr>
      <w:r>
        <w:t>业务页面向下滚动后显示「回顶部」悬浮按钮；手机端按钮自动抬到底部导航上方。</w:t>
      </w:r>
    </w:p>
    <w:p>
      <w:pPr>
        <w:pStyle w:val="Heading2"/>
      </w:pPr>
      <w:r>
        <w:t>4.3 通知中心</w:t>
      </w:r>
    </w:p>
    <w:p>
      <w:pPr>
        <w:pStyle w:val="ListBullet"/>
      </w:pPr>
      <w:r>
        <w:t>顶部铃铛展示未读数量和角标。</w:t>
      </w:r>
    </w:p>
    <w:p>
      <w:pPr>
        <w:pStyle w:val="ListBullet"/>
      </w:pPr>
      <w:r>
        <w:t>点击铃铛展开通知列表，可查看通知详情。</w:t>
      </w:r>
    </w:p>
    <w:p>
      <w:pPr>
        <w:pStyle w:val="ListBullet"/>
      </w:pPr>
      <w:r>
        <w:t>支持单条已读、全部已读；紧急或重要通知可弹出横幅提醒。</w:t>
      </w:r>
    </w:p>
    <w:p>
      <w:pPr>
        <w:pStyle w:val="Heading2"/>
      </w:pPr>
      <w:r>
        <w:t>4.4 响应式与字号</w:t>
      </w:r>
    </w:p>
    <w:p>
      <w:pPr>
        <w:pStyle w:val="ListBullet"/>
      </w:pPr>
      <w:r>
        <w:t>桌面端全局字号随视口宽度在 15px–17px 之间平滑缩放。</w:t>
      </w:r>
    </w:p>
    <w:p>
      <w:pPr>
        <w:pStyle w:val="ListBullet"/>
      </w:pPr>
      <w:r>
        <w:t>移动端固定 17px，避免固定 zoom 造成横向溢出。</w:t>
      </w:r>
    </w:p>
    <w:p>
      <w:pPr>
        <w:pStyle w:val="ListBullet"/>
      </w:pPr>
      <w:r>
        <w:t>手机端隐藏左侧导航，使用顶部 header + 底部大按钮导航；关键表格改为纵向卡片，复杂模块默认收起。</w:t>
      </w:r>
    </w:p>
    <w:p>
      <w:pPr>
        <w:pStyle w:val="ListBullet"/>
      </w:pPr>
      <w:r>
        <w:t>字号偏好可通过外壳控件调整，并保存在本地。</w:t>
      </w:r>
    </w:p>
    <w:p>
      <w:pPr>
        <w:pStyle w:val="Heading1"/>
      </w:pPr>
      <w:r>
        <w:t>5. 数据录入</w:t>
      </w:r>
    </w:p>
    <w:p>
      <w:pPr>
        <w:pStyle w:val="Heading2"/>
      </w:pPr>
      <w:r>
        <w:t>5.1 支持的文件</w:t>
      </w:r>
    </w:p>
    <w:p>
      <w:pPr>
        <w:pStyle w:val="ListBullet"/>
      </w:pPr>
      <w:r>
        <w:t>仅支持 .xlsx，可一次上传多个文件。</w:t>
      </w:r>
    </w:p>
    <w:p>
      <w:pPr>
        <w:pStyle w:val="ListBullet"/>
      </w:pPr>
      <w:r>
        <w:t>单个文件最大 20 MiB；不支持的文件格式会被前端忽略或由后端拒绝。</w:t>
      </w:r>
    </w:p>
    <w:p>
      <w:pPr>
        <w:pStyle w:val="ListBullet"/>
      </w:pPr>
      <w:r>
        <w:t>支持点击选择文件和拖拽文件到上传区域；手机端点选文件。</w:t>
      </w:r>
    </w:p>
    <w:p>
      <w:pPr>
        <w:pStyle w:val="Heading2"/>
      </w:pPr>
      <w:r>
        <w:t>5.2 导入二次确认</w:t>
      </w:r>
    </w:p>
    <w:p>
      <w:pPr>
        <w:pStyle w:val="ListBullet"/>
      </w:pPr>
      <w:r>
        <w:t>上传后先进入「二次确认」页，系统只创建导入草稿，不写入正式销售事实。</w:t>
      </w:r>
    </w:p>
    <w:p>
      <w:pPr>
        <w:pStyle w:val="ListBullet"/>
      </w:pPr>
      <w:r>
        <w:t>用户可逐文件核对基础信息、销售明细、售后明细和费用明细，发现问题行标红。</w:t>
      </w:r>
    </w:p>
    <w:p>
      <w:pPr>
        <w:pStyle w:val="ListBullet"/>
      </w:pPr>
      <w:r>
        <w:t>可修改草稿并自动保存；确认提交后才写入批次、源文件、销售记录、结算摘要和数据问题。</w:t>
      </w:r>
    </w:p>
    <w:p>
      <w:pPr>
        <w:pStyle w:val="ListBullet"/>
      </w:pPr>
      <w:r>
        <w:t>有错误或商号冲突时，需二次确认后强制提交。</w:t>
      </w:r>
    </w:p>
    <w:p>
      <w:pPr>
        <w:pStyle w:val="Heading2"/>
      </w:pPr>
      <w:r>
        <w:t>5.3 解析规则</w:t>
      </w:r>
    </w:p>
    <w:p>
      <w:pPr>
        <w:pStyle w:val="ListBullet"/>
      </w:pPr>
      <w:r>
        <w:t>Excel 从表头上方读取「商号 / 单号 / 柜号 / 转运车号」。</w:t>
      </w:r>
    </w:p>
    <w:p>
      <w:pPr>
        <w:pStyle w:val="ListBullet"/>
      </w:pPr>
      <w:r>
        <w:t>通用表头支持：商号、单号、柜号、销售日期、品种/规格、等级、数量、单价、金额。</w:t>
      </w:r>
    </w:p>
    <w:p>
      <w:pPr>
        <w:pStyle w:val="ListBullet"/>
      </w:pPr>
      <w:r>
        <w:t>兼容元数据位于表头上方、日期合并或仅首行填写、等级写在品种规格中的版式。</w:t>
      </w:r>
    </w:p>
    <w:p>
      <w:pPr>
        <w:pStyle w:val="ListBullet"/>
      </w:pPr>
      <w:r>
        <w:t>等级映射由管理端字段转换规则动态生成；默认 BC → C，AB 默认独立。</w:t>
      </w:r>
    </w:p>
    <w:p>
      <w:pPr>
        <w:pStyle w:val="ListBullet"/>
      </w:pPr>
      <w:r>
        <w:t>缺字段或未知等级的行不写入销售事实；其他有效行继续导入，并生成问题明细。</w:t>
      </w:r>
    </w:p>
    <w:p>
      <w:pPr>
        <w:pStyle w:val="ListBullet"/>
      </w:pPr>
      <w:r>
        <w:t>商号缺失的文件会被拒绝。</w:t>
      </w:r>
    </w:p>
    <w:p>
      <w:pPr>
        <w:pStyle w:val="Heading2"/>
      </w:pPr>
      <w:r>
        <w:t>5.4 单号与商号展示规则</w:t>
      </w:r>
    </w:p>
    <w:p>
      <w:pPr>
        <w:pStyle w:val="ListBullet"/>
      </w:pPr>
      <w:r>
        <w:t>单号双写：原始单号与适配后单号同时保存。适配规则将「宝贝003 → 宝贝-003」「宝贝L004 → 宝贝-004」，页面、导出和导入记录统一展示适配后写法。</w:t>
      </w:r>
    </w:p>
    <w:p>
      <w:pPr>
        <w:pStyle w:val="ListBullet"/>
      </w:pPr>
      <w:r>
        <w:t>商号双写：原始商号与适配后商号同时保存。适配规则去除开头重复「单」前缀，例如「单637 → 637」。页面统一展示适配后商号，原始商号通过提示或副标题保留追溯。</w:t>
      </w:r>
    </w:p>
    <w:p>
      <w:pPr>
        <w:pStyle w:val="ListBullet"/>
      </w:pPr>
      <w:r>
        <w:t>商号仍作为结算单唯一业务键和接口参数，选择器和分享链接使用原始商号。</w:t>
      </w:r>
    </w:p>
    <w:p>
      <w:pPr>
        <w:pStyle w:val="Heading2"/>
      </w:pPr>
      <w:r>
        <w:t>5.5 重复导入与覆盖</w:t>
      </w:r>
    </w:p>
    <w:p>
      <w:pPr>
        <w:pStyle w:val="ListBullet"/>
      </w:pPr>
      <w:r>
        <w:t>同一商号再次上传时，返回「已存在待确认」。</w:t>
      </w:r>
    </w:p>
    <w:p>
      <w:pPr>
        <w:pStyle w:val="ListBullet"/>
      </w:pPr>
      <w:r>
        <w:t>用户确认后在同一事务内替换旧结算单；未确认不会覆盖。</w:t>
      </w:r>
    </w:p>
    <w:p>
      <w:pPr>
        <w:pStyle w:val="ListBullet"/>
      </w:pPr>
      <w:r>
        <w:t>上传期间页面显示等待遮罩和「正在导入，请稍候」，按钮禁用，避免重复提交。</w:t>
      </w:r>
    </w:p>
    <w:p>
      <w:pPr>
        <w:pStyle w:val="Heading2"/>
      </w:pPr>
      <w:r>
        <w:t>5.6 导入记录与问题</w:t>
      </w:r>
    </w:p>
    <w:p>
      <w:pPr>
        <w:pStyle w:val="ListBullet"/>
      </w:pPr>
      <w:r>
        <w:t>导入记录展示文件名、商号、单号、导入时间、状态、成功/警告/失败行数。</w:t>
      </w:r>
    </w:p>
    <w:p>
      <w:pPr>
        <w:pStyle w:val="ListBullet"/>
      </w:pPr>
      <w:r>
        <w:t>问题明细可按批次展开查看，也可下载问题 CSV。</w:t>
      </w:r>
    </w:p>
    <w:p>
      <w:pPr>
        <w:pStyle w:val="ListBullet"/>
      </w:pPr>
      <w:r>
        <w:t>问题明细包含行号、级别、类型、字段、说明和原始值。</w:t>
      </w:r>
    </w:p>
    <w:p>
      <w:pPr>
        <w:pStyle w:val="ListBullet"/>
      </w:pPr>
      <w:r>
        <w:t>警告问题可标记为「确认无误」，确认后不再计入未处理警告数。</w:t>
      </w:r>
    </w:p>
    <w:p>
      <w:pPr>
        <w:pStyle w:val="Heading2"/>
      </w:pPr>
      <w:r>
        <w:t>5.7 手工录单</w:t>
      </w:r>
    </w:p>
    <w:p>
      <w:pPr>
        <w:pStyle w:val="ListBullet"/>
      </w:pPr>
      <w:r>
        <w:t>在「录单 / 导入」页可进入「手工录单」，也可从导入记录继续未完成的手工草稿。</w:t>
      </w:r>
    </w:p>
    <w:p>
      <w:pPr>
        <w:pStyle w:val="ListBullet"/>
      </w:pPr>
      <w:r>
        <w:t>支持录入基本信息、销售明细、售后明细、费用明细和汇总信息。</w:t>
      </w:r>
    </w:p>
    <w:p>
      <w:pPr>
        <w:pStyle w:val="ListBullet"/>
      </w:pPr>
      <w:r>
        <w:t>草稿自动暂存到服务端数据库，刷新后可恢复；保存成功后清除草稿。</w:t>
      </w:r>
    </w:p>
    <w:p>
      <w:pPr>
        <w:pStyle w:val="ListBullet"/>
      </w:pPr>
      <w:r>
        <w:t>商号冲突时提示覆盖确认；同一手工单可再次修改并留痕。</w:t>
      </w:r>
    </w:p>
    <w:p>
      <w:pPr>
        <w:pStyle w:val="ListBullet"/>
      </w:pPr>
      <w:r>
        <w:t>录入时自动计算总件数、总金额、费用合计、应付金额等，并与来货数量进行差异提示。</w:t>
      </w:r>
    </w:p>
    <w:p>
      <w:pPr>
        <w:pStyle w:val="Heading1"/>
      </w:pPr>
      <w:r>
        <w:t>6. 销售总览</w:t>
      </w:r>
    </w:p>
    <w:p>
      <w:pPr>
        <w:pStyle w:val="Heading2"/>
      </w:pPr>
      <w:r>
        <w:t>6.1 页面作用</w:t>
      </w:r>
    </w:p>
    <w:p>
      <w:pPr/>
      <w:r>
        <w:t>查看筛选范围内所有结算单的总体销量与销售额；各等级销售情况在「等级销售分析」区块查看（等级项不含 AB 与「其他」）。</w:t>
      </w:r>
    </w:p>
    <w:p>
      <w:pPr>
        <w:pStyle w:val="Heading2"/>
      </w:pPr>
      <w:r>
        <w:t>6.2 筛选与刷新</w:t>
      </w:r>
    </w:p>
    <w:p>
      <w:pPr>
        <w:pStyle w:val="ListBullet"/>
      </w:pPr>
      <w:r>
        <w:t>销售日期起止：选择后点击「查看结果」刷新。</w:t>
      </w:r>
    </w:p>
    <w:p>
      <w:pPr>
        <w:pStyle w:val="ListBullet"/>
      </w:pPr>
      <w:r>
        <w:t>国家下拉：切换后立即刷新；默认「全部国家」。</w:t>
        <w:br/>
        <w:t>市场下拉：切换后立即刷新；默认「全部市场」。</w:t>
      </w:r>
    </w:p>
    <w:p>
      <w:pPr>
        <w:pStyle w:val="ListBullet"/>
      </w:pPr>
      <w:r>
        <w:t>不选择销售日期时查看全部数据。</w:t>
      </w:r>
    </w:p>
    <w:p>
      <w:pPr>
        <w:pStyle w:val="ListBullet"/>
      </w:pPr>
      <w:r>
        <w:t>起止日期校验：开始日期不能晚于结束日期。</w:t>
      </w:r>
    </w:p>
    <w:p>
      <w:pPr>
        <w:pStyle w:val="Heading2"/>
      </w:pPr>
      <w:r>
        <w:t>6.3 指标展示</w:t>
      </w:r>
    </w:p>
    <w:p>
      <w:pPr>
        <w:pStyle w:val="ListBullet"/>
      </w:pPr>
      <w:r>
        <w:t>总柜数：筛选范围内销量之和（按全部数据计算，不因隐藏等级而剔除）。</w:t>
      </w:r>
    </w:p>
    <w:p>
      <w:pPr>
        <w:pStyle w:val="ListBullet"/>
      </w:pPr>
      <w:r>
        <w:t>总销售额：筛选范围内销售金额之和。</w:t>
      </w:r>
    </w:p>
    <w:p>
      <w:pPr>
        <w:pStyle w:val="ListBullet"/>
      </w:pPr>
      <w:r>
        <w:t>每件均价：销售金额 ÷ 销量（件）。</w:t>
      </w:r>
    </w:p>
    <w:p>
      <w:pPr>
        <w:pStyle w:val="ListBullet"/>
      </w:pPr>
      <w:r>
        <w:t>「销售情况」区块只展示总柜数与销售金额汇总条；等级卡片已移除，各等级情况见「等级销售分析」。</w:t>
      </w:r>
    </w:p>
    <w:p>
      <w:pPr>
        <w:pStyle w:val="Heading2"/>
      </w:pPr>
      <w:r>
        <w:t>6.4 等级销售分析</w:t>
      </w:r>
    </w:p>
    <w:p>
      <w:pPr>
        <w:pStyle w:val="ListBullet"/>
      </w:pPr>
      <w:r>
        <w:t>区块展示等级件数结构（饼图）、规格件数与均价（横向柱图表格）和销售柜数统计。</w:t>
      </w:r>
    </w:p>
    <w:p>
      <w:pPr>
        <w:pStyle w:val="ListBullet"/>
      </w:pPr>
      <w:r>
        <w:t>规格表列依次为：等级、规格、备注、每件均价、总件数、件数分布、占比；备注在同一「等级+规格」组的销售行备注完全一致时展示，不一致时显示「多个」（悬浮查看全部）。</w:t>
        <w:br/>
        <w:t>销售柜数统计：饼图展示各品牌柜数占比，柱图展示各品牌柜数对比，柱体顶部标注具体数量与单位（如「14 柜」）；柜数按品牌统计结算单（商号）数量。</w:t>
        <w:br/>
        <w:t>等级项同样不展示 AB 与「其他」。</w:t>
      </w:r>
    </w:p>
    <w:p>
      <w:pPr>
        <w:pStyle w:val="Heading1"/>
      </w:pPr>
      <w:r>
        <w:t>7. 数据明细</w:t>
      </w:r>
    </w:p>
    <w:p>
      <w:pPr>
        <w:pStyle w:val="Heading2"/>
      </w:pPr>
      <w:r>
        <w:t>7.1 页面作用</w:t>
      </w:r>
    </w:p>
    <w:p>
      <w:pPr/>
      <w:r>
        <w:t>按商号查看每张结算单的销售额、各等级件数和每件均价，并可展开查看全部销售明细。</w:t>
      </w:r>
    </w:p>
    <w:p>
      <w:pPr>
        <w:pStyle w:val="Heading2"/>
      </w:pPr>
      <w:r>
        <w:t>7.2 筛选与分页</w:t>
      </w:r>
    </w:p>
    <w:p>
      <w:pPr>
        <w:pStyle w:val="ListBullet"/>
      </w:pPr>
      <w:r>
        <w:t>商号下拉：切换后立即刷新，默认「全部结算单」。</w:t>
      </w:r>
    </w:p>
    <w:p>
      <w:pPr>
        <w:pStyle w:val="ListBullet"/>
      </w:pPr>
      <w:r>
        <w:t>销售日期起止：点击「查看结果」刷新。</w:t>
      </w:r>
    </w:p>
    <w:p>
      <w:pPr>
        <w:pStyle w:val="ListBullet"/>
      </w:pPr>
      <w:r>
        <w:t>支持按商号、单号、柜号、车牌关键字模糊搜索。</w:t>
      </w:r>
    </w:p>
    <w:p>
      <w:pPr>
        <w:pStyle w:val="ListBullet"/>
      </w:pPr>
      <w:r>
        <w:t>列表支持分页，每页 10 / 20 / 50 条。</w:t>
      </w:r>
    </w:p>
    <w:p>
      <w:pPr>
        <w:pStyle w:val="Heading2"/>
      </w:pPr>
      <w:r>
        <w:t>7.3 列表内容</w:t>
      </w:r>
    </w:p>
    <w:p>
      <w:pPr>
        <w:pStyle w:val="ListBullet"/>
      </w:pPr>
      <w:r>
        <w:t>列包含商号、单号、柜号、到达市场日期、销售日期、A/B/C 件数、销售额、每件均价和记录数。</w:t>
      </w:r>
    </w:p>
    <w:p>
      <w:pPr>
        <w:pStyle w:val="ListBullet"/>
      </w:pPr>
      <w:r>
        <w:t>可点击「查看明细」查看该结算单每条销售记录。</w:t>
      </w:r>
    </w:p>
    <w:p>
      <w:pPr>
        <w:pStyle w:val="ListBullet"/>
      </w:pPr>
      <w:r>
        <w:t>可对单张结算单执行「导出」和「删除」操作。</w:t>
      </w:r>
    </w:p>
    <w:p>
      <w:pPr>
        <w:pStyle w:val="Heading2"/>
      </w:pPr>
      <w:r>
        <w:t>7.4 查看明细</w:t>
      </w:r>
    </w:p>
    <w:p>
      <w:pPr>
        <w:pStyle w:val="ListBullet"/>
      </w:pPr>
      <w:r>
        <w:t>「查看明细」复用导入二次确认页的只读模式，可查看基础信息、销售明细、售后明细、费用明细和汇总信息。</w:t>
      </w:r>
    </w:p>
    <w:p>
      <w:pPr>
        <w:pStyle w:val="ListBullet"/>
      </w:pPr>
      <w:r>
        <w:t>只读模式禁用输入、隐藏新增/删除/还原/提交按钮。</w:t>
      </w:r>
    </w:p>
    <w:p>
      <w:pPr>
        <w:pStyle w:val="Heading2"/>
      </w:pPr>
      <w:r>
        <w:t>7.5 删除结算单</w:t>
      </w:r>
    </w:p>
    <w:p>
      <w:pPr>
        <w:pStyle w:val="ListBullet"/>
      </w:pPr>
      <w:r>
        <w:t>删除录错的结算单时，连带移除销售明细、售后、费用、汇总和修改留痕。</w:t>
      </w:r>
    </w:p>
    <w:p>
      <w:pPr>
        <w:pStyle w:val="ListBullet"/>
      </w:pPr>
      <w:r>
        <w:t>删除操作需确认，误删不可在页面撤销，请谨慎操作。</w:t>
      </w:r>
    </w:p>
    <w:p>
      <w:pPr>
        <w:pStyle w:val="Heading1"/>
      </w:pPr>
      <w:r>
        <w:t>8. 结算单详情</w:t>
      </w:r>
    </w:p>
    <w:p>
      <w:pPr>
        <w:pStyle w:val="Heading2"/>
      </w:pPr>
      <w:r>
        <w:t>8.1 页面作用</w:t>
      </w:r>
    </w:p>
    <w:p>
      <w:pPr/>
      <w:r>
        <w:t>选择一张结算单，查看基础信息、销量、销售额、等级情况、售后与费用、每日趋势、同品牌对比及来源追溯。</w:t>
      </w:r>
    </w:p>
    <w:p>
      <w:pPr>
        <w:pStyle w:val="Heading2"/>
      </w:pPr>
      <w:r>
        <w:t>8.2 筛选与默认选中</w:t>
      </w:r>
    </w:p>
    <w:p>
      <w:pPr>
        <w:pStyle w:val="ListBullet"/>
      </w:pPr>
      <w:r>
        <w:t>商号下拉切换后自动刷新；默认选中第一张可用结算单。</w:t>
      </w:r>
    </w:p>
    <w:p>
      <w:pPr>
        <w:pStyle w:val="ListBullet"/>
      </w:pPr>
      <w:r>
        <w:t>销售日期起止：点击「查看结果」刷新。</w:t>
      </w:r>
    </w:p>
    <w:p>
      <w:pPr>
        <w:pStyle w:val="Heading2"/>
      </w:pPr>
      <w:r>
        <w:t>8.3 核心内容</w:t>
      </w:r>
    </w:p>
    <w:p>
      <w:pPr>
        <w:pStyle w:val="ListBullet"/>
      </w:pPr>
      <w:r>
        <w:t>基础信息：市场、单号、到达市场日期、销售日期、柜号、转运公司。</w:t>
      </w:r>
    </w:p>
    <w:p>
      <w:pPr>
        <w:pStyle w:val="ListBullet"/>
      </w:pPr>
      <w:r>
        <w:t>关键指标：销量、销售额、每件均价等。</w:t>
      </w:r>
    </w:p>
    <w:p>
      <w:pPr>
        <w:pStyle w:val="ListBullet"/>
      </w:pPr>
      <w:r>
        <w:t>等级销售情况：A/B/C 的销量、金额、每件均价和占比。</w:t>
      </w:r>
    </w:p>
    <w:p>
      <w:pPr>
        <w:pStyle w:val="ListBullet"/>
      </w:pPr>
      <w:r>
        <w:t>每日趋势：该结算单按销售日期统计的销量与每件均价。</w:t>
      </w:r>
    </w:p>
    <w:p>
      <w:pPr>
        <w:pStyle w:val="ListBullet"/>
      </w:pPr>
      <w:r>
        <w:t>售后与费用：展示售后金额、售后比、市场费用、费用明细、应付金额等。</w:t>
      </w:r>
    </w:p>
    <w:p>
      <w:pPr>
        <w:pStyle w:val="ListBullet"/>
      </w:pPr>
      <w:r>
        <w:t>来源追溯：查看销售明细，并追溯每条记录对应源文件。</w:t>
      </w:r>
    </w:p>
    <w:p>
      <w:pPr>
        <w:pStyle w:val="Heading2"/>
      </w:pPr>
      <w:r>
        <w:t>8.4 同品牌对比与 AI 解读</w:t>
      </w:r>
    </w:p>
    <w:p>
      <w:pPr>
        <w:pStyle w:val="ListBullet"/>
      </w:pPr>
      <w:r>
        <w:t>与同品牌其他结算单对比各等级每件均价差异。</w:t>
      </w:r>
    </w:p>
    <w:p>
      <w:pPr>
        <w:pStyle w:val="ListBullet"/>
      </w:pPr>
      <w:r>
        <w:t>可生成当前结算单与同品牌其他结算单的经营解读，数字取自系统已有数据。</w:t>
      </w:r>
    </w:p>
    <w:p>
      <w:pPr>
        <w:pStyle w:val="Heading1"/>
      </w:pPr>
      <w:r>
        <w:t>9. 结算单对比</w:t>
      </w:r>
    </w:p>
    <w:p>
      <w:pPr>
        <w:pStyle w:val="Heading2"/>
      </w:pPr>
      <w:r>
        <w:t>9.1 页面作用</w:t>
      </w:r>
    </w:p>
    <w:p>
      <w:pPr/>
      <w:r>
        <w:t>按销售日期查看各结算单（按商号归集）的销量、销售额和每件均价。</w:t>
      </w:r>
    </w:p>
    <w:p>
      <w:pPr>
        <w:pStyle w:val="Heading2"/>
      </w:pPr>
      <w:r>
        <w:t>9.2 操作方式</w:t>
      </w:r>
    </w:p>
    <w:p>
      <w:pPr>
        <w:pStyle w:val="ListBullet"/>
      </w:pPr>
      <w:r>
        <w:t>选择销售日期起止，点击「查看结果」。</w:t>
      </w:r>
    </w:p>
    <w:p>
      <w:pPr>
        <w:pStyle w:val="ListBullet"/>
      </w:pPr>
      <w:r>
        <w:t>结果支持按销售额、销量或每件均价排序。</w:t>
      </w:r>
    </w:p>
    <w:p>
      <w:pPr>
        <w:pStyle w:val="Heading2"/>
      </w:pPr>
      <w:r>
        <w:t>9.3 展示内容</w:t>
      </w:r>
    </w:p>
    <w:p>
      <w:pPr>
        <w:pStyle w:val="ListBullet"/>
      </w:pPr>
      <w:r>
        <w:t>每张结算单展示商号、单号、柜号、销售额、销量、每件均价。</w:t>
      </w:r>
    </w:p>
    <w:p>
      <w:pPr>
        <w:pStyle w:val="ListBullet"/>
      </w:pPr>
      <w:r>
        <w:t>同时展示 A/B/C 各等级的等级、每件均价和占比。</w:t>
      </w:r>
    </w:p>
    <w:p>
      <w:pPr>
        <w:pStyle w:val="ListBullet"/>
      </w:pPr>
      <w:r>
        <w:t>移动端适配为紧凑卡片，保证信息可读。</w:t>
      </w:r>
    </w:p>
    <w:p>
      <w:pPr>
        <w:pStyle w:val="Heading1"/>
      </w:pPr>
      <w:r>
        <w:t>10. 品牌对比</w:t>
      </w:r>
    </w:p>
    <w:p>
      <w:pPr>
        <w:pStyle w:val="Heading2"/>
      </w:pPr>
      <w:r>
        <w:t>10.1 页面作用</w:t>
      </w:r>
    </w:p>
    <w:p>
      <w:pPr/>
      <w:r>
        <w:t>勾选同一品牌下的两张及以上结算单，按 A/B/C 等级分别核算件数、金额和每件均价，并进行品牌汇总和等级细分分析。</w:t>
      </w:r>
    </w:p>
    <w:p>
      <w:pPr>
        <w:pStyle w:val="Heading2"/>
      </w:pPr>
      <w:r>
        <w:t>10.2 选择结算单</w:t>
      </w:r>
    </w:p>
    <w:p>
      <w:pPr>
        <w:pStyle w:val="ListBullet"/>
      </w:pPr>
      <w:r>
        <w:t>先选择品牌，再选择该品牌下的结算单。</w:t>
      </w:r>
    </w:p>
    <w:p>
      <w:pPr>
        <w:pStyle w:val="ListBullet"/>
      </w:pPr>
      <w:r>
        <w:t>支持搜索商号、单号、柜号，按系列折叠或按最近到达日期排序。</w:t>
      </w:r>
    </w:p>
    <w:p>
      <w:pPr>
        <w:pStyle w:val="ListBullet"/>
      </w:pPr>
      <w:r>
        <w:t>勾选状态为草稿，点击「确定」才触发一次对比请求。</w:t>
      </w:r>
    </w:p>
    <w:p>
      <w:pPr>
        <w:pStyle w:val="ListBullet"/>
      </w:pPr>
      <w:r>
        <w:t>已选组合写入地址栏 selected 参数，可分享或还原。</w:t>
      </w:r>
    </w:p>
    <w:p>
      <w:pPr>
        <w:pStyle w:val="ListBullet"/>
      </w:pPr>
      <w:r>
        <w:t>至少选择两张结算单才能对比；一次最多选择 6 张用于 AI 分析。</w:t>
      </w:r>
    </w:p>
    <w:p>
      <w:pPr>
        <w:pStyle w:val="Heading2"/>
      </w:pPr>
      <w:r>
        <w:t>10.3 品牌约束</w:t>
      </w:r>
    </w:p>
    <w:p>
      <w:pPr>
        <w:pStyle w:val="ListBullet"/>
      </w:pPr>
      <w:r>
        <w:t>对比和 AI 分析均要求所选结算单属于同一品牌。</w:t>
      </w:r>
    </w:p>
    <w:p>
      <w:pPr>
        <w:pStyle w:val="ListBullet"/>
      </w:pPr>
      <w:r>
        <w:t>跨品牌选择时后端返回 422，前端选择器已按品牌约束候选范围。</w:t>
      </w:r>
    </w:p>
    <w:p>
      <w:pPr>
        <w:pStyle w:val="Heading2"/>
      </w:pPr>
      <w:r>
        <w:t>10.4 对比结果</w:t>
      </w:r>
    </w:p>
    <w:p>
      <w:pPr>
        <w:pStyle w:val="ListBullet"/>
      </w:pPr>
      <w:r>
        <w:t>结算单总览表：逐张展示件数、金额、每件均价和 A/B/C 结构。</w:t>
      </w:r>
    </w:p>
    <w:p>
      <w:pPr>
        <w:pStyle w:val="ListBullet"/>
      </w:pPr>
      <w:r>
        <w:t>品牌汇总：同一品牌的多张结算单合并查看。</w:t>
      </w:r>
    </w:p>
    <w:p>
      <w:pPr>
        <w:pStyle w:val="ListBullet"/>
      </w:pPr>
      <w:r>
        <w:t>A/B/C 独立表：每个等级单独展示件数、金额、每件均价和金额占比。</w:t>
      </w:r>
    </w:p>
    <w:p>
      <w:pPr>
        <w:pStyle w:val="ListBullet"/>
      </w:pPr>
      <w:r>
        <w:t>等级价差：展示 A、B、C 每件均价，A-B 价差、B-C 价差和 B 比 A 折价比例。</w:t>
      </w:r>
    </w:p>
    <w:p>
      <w:pPr>
        <w:pStyle w:val="ListBullet"/>
      </w:pPr>
      <w:r>
        <w:t>图表：按 A/B/C 展示每件均价对比和数量/金额结构对比。</w:t>
      </w:r>
    </w:p>
    <w:p>
      <w:pPr>
        <w:pStyle w:val="Heading2"/>
      </w:pPr>
      <w:r>
        <w:t>10.5 等级号别视图</w:t>
      </w:r>
    </w:p>
    <w:p>
      <w:pPr>
        <w:pStyle w:val="ListBullet"/>
      </w:pPr>
      <w:r>
        <w:t>按等级号别查看价格阶梯，例如 A5、B6/7 等。</w:t>
      </w:r>
    </w:p>
    <w:p>
      <w:pPr>
        <w:pStyle w:val="ListBullet"/>
      </w:pPr>
      <w:r>
        <w:t>原始等级按「大等级 + 数字号别」解析；区间写法原样保留，例如 B6/7。</w:t>
      </w:r>
    </w:p>
    <w:p>
      <w:pPr>
        <w:pStyle w:val="ListBullet"/>
      </w:pPr>
      <w:r>
        <w:t>品质标记（熟、裂、黄皮）只做标记，不参与分桶。</w:t>
      </w:r>
    </w:p>
    <w:p>
      <w:pPr>
        <w:pStyle w:val="ListBullet"/>
      </w:pPr>
      <w:r>
        <w:t>无法识别的写法归入「其他」，单独提示且不计入上述阶梯。</w:t>
      </w:r>
    </w:p>
    <w:p>
      <w:pPr>
        <w:pStyle w:val="ListBullet"/>
      </w:pPr>
      <w:r>
        <w:t>可展开数据表，查看每个号别的件数、金额、每件均价、件数占比和金额占比。</w:t>
      </w:r>
    </w:p>
    <w:p>
      <w:pPr>
        <w:pStyle w:val="Heading1"/>
      </w:pPr>
      <w:r>
        <w:t>11. AI 分析与顺仔问答</w:t>
      </w:r>
    </w:p>
    <w:p>
      <w:pPr>
        <w:pStyle w:val="Heading2"/>
      </w:pPr>
      <w:r>
        <w:t>11.1 顺仔数据问答</w:t>
      </w:r>
    </w:p>
    <w:p>
      <w:pPr>
        <w:pStyle w:val="ListBullet"/>
      </w:pPr>
      <w:r>
        <w:t>右下角悬浮机器人「顺仔」支持自然语言提问，回答数字全部取自系统现有数据。</w:t>
      </w:r>
    </w:p>
    <w:p>
      <w:pPr>
        <w:pStyle w:val="ListBullet"/>
      </w:pPr>
      <w:r>
        <w:t>大模型按问题选择 overview / rank / detail / compare 等只读工具，最多多轮追问后返回答案、步骤和模型。</w:t>
      </w:r>
    </w:p>
    <w:p>
      <w:pPr>
        <w:pStyle w:val="ListBullet"/>
      </w:pPr>
      <w:r>
        <w:t>系统没有的字段（如采购成本、利润）会直接说明，不虚构。</w:t>
      </w:r>
    </w:p>
    <w:p>
      <w:pPr>
        <w:pStyle w:val="ListBullet"/>
      </w:pPr>
      <w:r>
        <w:t>仅拥有 ask:view 权限的角色可见；无权限时前后端双层拦截。</w:t>
      </w:r>
    </w:p>
    <w:p>
      <w:pPr>
        <w:pStyle w:val="ListBullet"/>
      </w:pPr>
      <w:r>
        <w:t>对话窗打开时与「回顶部」按钮互斥避让，按 Esc 或按钮可收起。</w:t>
      </w:r>
    </w:p>
    <w:p>
      <w:pPr>
        <w:pStyle w:val="Heading2"/>
      </w:pPr>
      <w:r>
        <w:t>11.2 AI 分析结论</w:t>
      </w:r>
    </w:p>
    <w:p>
      <w:pPr>
        <w:pStyle w:val="ListBullet"/>
      </w:pPr>
      <w:r>
        <w:t>单柜详情：生成当前结算单与同品牌其他结算单的价格对比和经营建议。</w:t>
      </w:r>
    </w:p>
    <w:p>
      <w:pPr>
        <w:pStyle w:val="ListBullet"/>
      </w:pPr>
      <w:r>
        <w:t>品牌对比「按系列」视图：生成所选结算单的整体对比解读。</w:t>
      </w:r>
    </w:p>
    <w:p>
      <w:pPr>
        <w:pStyle w:val="ListBullet"/>
      </w:pPr>
      <w:r>
        <w:t>品牌对比「按等级号别」视图：生成等级细分解读。</w:t>
      </w:r>
    </w:p>
    <w:p>
      <w:pPr>
        <w:pStyle w:val="ListBullet"/>
      </w:pPr>
      <w:r>
        <w:t>相同筛选条件会直接返回后端缓存；可手动刷新重新生成。</w:t>
      </w:r>
    </w:p>
    <w:p>
      <w:pPr>
        <w:pStyle w:val="ListBullet"/>
      </w:pPr>
      <w:r>
        <w:t>后端先计算对比指标，AI 仅解读结果，避免自行重算产生口径偏差。</w:t>
      </w:r>
    </w:p>
    <w:p>
      <w:pPr>
        <w:pStyle w:val="ListBullet"/>
      </w:pPr>
      <w:r>
        <w:t>AI 未配置或调用失败时，不影响其他页面和数据分析功能。</w:t>
      </w:r>
    </w:p>
    <w:p>
      <w:pPr>
        <w:pStyle w:val="Heading2"/>
      </w:pPr>
      <w:r>
        <w:t>11.3 结论结构</w:t>
      </w:r>
    </w:p>
    <w:p>
      <w:pPr/>
      <w:r>
        <w:t>结论按「结论 + 比较 + 建议」组织，并结合关键数字高亮展示，便于直接阅读。</w:t>
      </w:r>
    </w:p>
    <w:p>
      <w:pPr>
        <w:pStyle w:val="Heading1"/>
      </w:pPr>
      <w:r>
        <w:t>12. 数据导出与追溯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b/>
              </w:rPr>
              <w:t>导出/追溯项</w:t>
            </w:r>
          </w:p>
        </w:tc>
        <w:tc>
          <w:tcPr>
            <w:tcW w:type="dxa" w:w="4759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759"/>
          </w:tcPr>
          <w:p>
            <w:r>
              <w:t>总览 CSV</w:t>
            </w:r>
          </w:p>
        </w:tc>
        <w:tc>
          <w:tcPr>
            <w:tcW w:type="dxa" w:w="4759"/>
          </w:tcPr>
          <w:p>
            <w:r>
              <w:t>按筛选范围导出等级汇总，包含销量、销售额、每件均价和数量占比。</w:t>
            </w:r>
          </w:p>
        </w:tc>
      </w:tr>
      <w:tr>
        <w:tc>
          <w:tcPr>
            <w:tcW w:type="dxa" w:w="4759"/>
          </w:tcPr>
          <w:p>
            <w:r>
              <w:t>结算单列表 XLSX</w:t>
            </w:r>
          </w:p>
        </w:tc>
        <w:tc>
          <w:tcPr>
            <w:tcW w:type="dxa" w:w="4759"/>
          </w:tcPr>
          <w:p>
            <w:r>
              <w:t>导出「数据明细」列表，含结算单汇总、销售明细、售后明细、支出费用明细和说明。</w:t>
            </w:r>
          </w:p>
        </w:tc>
      </w:tr>
      <w:tr>
        <w:tc>
          <w:tcPr>
            <w:tcW w:type="dxa" w:w="4759"/>
          </w:tcPr>
          <w:p>
            <w:r>
              <w:t>单张结算单 XLSX</w:t>
            </w:r>
          </w:p>
        </w:tc>
        <w:tc>
          <w:tcPr>
            <w:tcW w:type="dxa" w:w="4759"/>
          </w:tcPr>
          <w:p>
            <w:r>
              <w:t>导出指定结算单的说明、等级汇总、每日趋势和销售明细。</w:t>
            </w:r>
          </w:p>
        </w:tc>
      </w:tr>
      <w:tr>
        <w:tc>
          <w:tcPr>
            <w:tcW w:type="dxa" w:w="4759"/>
          </w:tcPr>
          <w:p>
            <w:r>
              <w:t>结算单模板 XLSX</w:t>
            </w:r>
          </w:p>
        </w:tc>
        <w:tc>
          <w:tcPr>
            <w:tcW w:type="dxa" w:w="4759"/>
          </w:tcPr>
          <w:p>
            <w:r>
              <w:t>按结算单模板版式导出单张结算单。</w:t>
            </w:r>
          </w:p>
        </w:tc>
      </w:tr>
      <w:tr>
        <w:tc>
          <w:tcPr>
            <w:tcW w:type="dxa" w:w="4759"/>
          </w:tcPr>
          <w:p>
            <w:r>
              <w:t>结算单模板 PDF</w:t>
            </w:r>
          </w:p>
        </w:tc>
        <w:tc>
          <w:tcPr>
            <w:tcW w:type="dxa" w:w="4759"/>
          </w:tcPr>
          <w:p>
            <w:r>
              <w:t>按财务报表样式导出单张结算单 PDF。</w:t>
            </w:r>
          </w:p>
        </w:tc>
      </w:tr>
      <w:tr>
        <w:tc>
          <w:tcPr>
            <w:tcW w:type="dxa" w:w="4759"/>
          </w:tcPr>
          <w:p>
            <w:r>
              <w:t>手工单 XLSX</w:t>
            </w:r>
          </w:p>
        </w:tc>
        <w:tc>
          <w:tcPr>
            <w:tcW w:type="dxa" w:w="4759"/>
          </w:tcPr>
          <w:p>
            <w:r>
              <w:t>导出手工录单数据。</w:t>
            </w:r>
          </w:p>
        </w:tc>
      </w:tr>
      <w:tr>
        <w:tc>
          <w:tcPr>
            <w:tcW w:type="dxa" w:w="4759"/>
          </w:tcPr>
          <w:p>
            <w:r>
              <w:t>导入问题 CSV</w:t>
            </w:r>
          </w:p>
        </w:tc>
        <w:tc>
          <w:tcPr>
            <w:tcW w:type="dxa" w:w="4759"/>
          </w:tcPr>
          <w:p>
            <w:r>
              <w:t>下载指定批次的导入问题明细。</w:t>
            </w:r>
          </w:p>
        </w:tc>
      </w:tr>
      <w:tr>
        <w:tc>
          <w:tcPr>
            <w:tcW w:type="dxa" w:w="4759"/>
          </w:tcPr>
          <w:p>
            <w:r>
              <w:t>来源追溯</w:t>
            </w:r>
          </w:p>
        </w:tc>
        <w:tc>
          <w:tcPr>
            <w:tcW w:type="dxa" w:w="4759"/>
          </w:tcPr>
          <w:p>
            <w:r>
              <w:t>按销售记录查看对应源文件信息，用于核对原始数据。</w:t>
            </w:r>
          </w:p>
        </w:tc>
      </w:tr>
    </w:tbl>
    <w:p>
      <w:pPr>
        <w:pStyle w:val="Heading1"/>
      </w:pPr>
      <w:r>
        <w:t>13. 指标口径与业务规则</w:t>
      </w:r>
    </w:p>
    <w:p>
      <w:pPr>
        <w:pStyle w:val="Heading2"/>
      </w:pPr>
      <w:r>
        <w:t>13.1 核心指标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4759"/>
          </w:tcPr>
          <w:p>
            <w:r>
              <w:rPr>
                <w:b/>
              </w:rPr>
              <w:t>计算公式/规则</w:t>
            </w:r>
          </w:p>
        </w:tc>
      </w:tr>
      <w:tr>
        <w:tc>
          <w:tcPr>
            <w:tcW w:type="dxa" w:w="4759"/>
          </w:tcPr>
          <w:p>
            <w:r>
              <w:t>销售数量</w:t>
            </w:r>
          </w:p>
        </w:tc>
        <w:tc>
          <w:tcPr>
            <w:tcW w:type="dxa" w:w="4759"/>
          </w:tcPr>
          <w:p>
            <w:r>
              <w:t>筛选范围内 quantity 之和，单位为件。</w:t>
            </w:r>
          </w:p>
        </w:tc>
      </w:tr>
      <w:tr>
        <w:tc>
          <w:tcPr>
            <w:tcW w:type="dxa" w:w="4759"/>
          </w:tcPr>
          <w:p>
            <w:r>
              <w:t>销售金额</w:t>
            </w:r>
          </w:p>
        </w:tc>
        <w:tc>
          <w:tcPr>
            <w:tcW w:type="dxa" w:w="4759"/>
          </w:tcPr>
          <w:p>
            <w:r>
              <w:t>筛选范围内 amount 之和。</w:t>
            </w:r>
          </w:p>
        </w:tc>
      </w:tr>
      <w:tr>
        <w:tc>
          <w:tcPr>
            <w:tcW w:type="dxa" w:w="4759"/>
          </w:tcPr>
          <w:p>
            <w:r>
              <w:t>每件均价</w:t>
            </w:r>
          </w:p>
        </w:tc>
        <w:tc>
          <w:tcPr>
            <w:tcW w:type="dxa" w:w="4759"/>
          </w:tcPr>
          <w:p>
            <w:r>
              <w:t>销售金额 ÷ 销售数量（件）；数量为 0 时为空，单位元/件。</w:t>
            </w:r>
          </w:p>
        </w:tc>
      </w:tr>
      <w:tr>
        <w:tc>
          <w:tcPr>
            <w:tcW w:type="dxa" w:w="4759"/>
          </w:tcPr>
          <w:p>
            <w:r>
              <w:t>数量占比</w:t>
            </w:r>
          </w:p>
        </w:tc>
        <w:tc>
          <w:tcPr>
            <w:tcW w:type="dxa" w:w="4759"/>
          </w:tcPr>
          <w:p>
            <w:r>
              <w:t>某等级销售数量 ÷ 同筛选范围总销售数量。</w:t>
            </w:r>
          </w:p>
        </w:tc>
      </w:tr>
      <w:tr>
        <w:tc>
          <w:tcPr>
            <w:tcW w:type="dxa" w:w="4759"/>
          </w:tcPr>
          <w:p>
            <w:r>
              <w:t>金额占比</w:t>
            </w:r>
          </w:p>
        </w:tc>
        <w:tc>
          <w:tcPr>
            <w:tcW w:type="dxa" w:w="4759"/>
          </w:tcPr>
          <w:p>
            <w:r>
              <w:t>某等级销售金额 ÷ 同筛选范围总销售金额（品牌对比使用）。</w:t>
            </w:r>
          </w:p>
        </w:tc>
      </w:tr>
      <w:tr>
        <w:tc>
          <w:tcPr>
            <w:tcW w:type="dxa" w:w="4759"/>
          </w:tcPr>
          <w:p>
            <w:r>
              <w:t>B 比 A 折价</w:t>
            </w:r>
          </w:p>
        </w:tc>
        <w:tc>
          <w:tcPr>
            <w:tcW w:type="dxa" w:w="4759"/>
          </w:tcPr>
          <w:p>
            <w:r>
              <w:t>(A 每件均价 - B 每件均价) ÷ A 每件均价；A 每件均价存在且 B 每件均价存在时计算。</w:t>
            </w:r>
          </w:p>
        </w:tc>
      </w:tr>
    </w:tbl>
    <w:p>
      <w:pPr>
        <w:pStyle w:val="Heading2"/>
      </w:pPr>
      <w:r>
        <w:t>13.2 等级规则</w:t>
      </w:r>
    </w:p>
    <w:p>
      <w:pPr>
        <w:pStyle w:val="ListBullet"/>
      </w:pPr>
      <w:r>
        <w:t>A/A6 → A；B/B6 → B；C/C6/BC/BC6 → C。</w:t>
      </w:r>
    </w:p>
    <w:p>
      <w:pPr>
        <w:pStyle w:val="ListBullet"/>
      </w:pPr>
      <w:r>
        <w:t>AB 默认独立，可由管理端配置为归入 A。</w:t>
      </w:r>
    </w:p>
    <w:p>
      <w:pPr>
        <w:pStyle w:val="ListBullet"/>
      </w:pPr>
      <w:r>
        <w:t>界面显示为「C 果（含 BC）」。</w:t>
      </w:r>
    </w:p>
    <w:p>
      <w:pPr>
        <w:pStyle w:val="ListBullet"/>
      </w:pPr>
      <w:r>
        <w:t>原始 BC 等级不保留为独立展示等级，但原始等级信息可追溯。</w:t>
      </w:r>
    </w:p>
    <w:p>
      <w:pPr>
        <w:pStyle w:val="Heading2"/>
      </w:pPr>
      <w:r>
        <w:t>13.3 日期与结算单规则</w:t>
      </w:r>
    </w:p>
    <w:p>
      <w:pPr>
        <w:pStyle w:val="ListBullet"/>
      </w:pPr>
      <w:r>
        <w:t>日期筛选按销售日期计算，不按导入时间。</w:t>
      </w:r>
    </w:p>
    <w:p>
      <w:pPr>
        <w:pStyle w:val="ListBullet"/>
      </w:pPr>
      <w:r>
        <w:t>未指定日期时，数据明细默认取最新销售日期往前一个自然月。</w:t>
      </w:r>
    </w:p>
    <w:p>
      <w:pPr>
        <w:pStyle w:val="ListBullet"/>
      </w:pPr>
      <w:r>
        <w:t>结算单以商号为唯一业务键；柜号仅作为车柜标识。</w:t>
      </w:r>
    </w:p>
    <w:p>
      <w:pPr>
        <w:pStyle w:val="Heading2"/>
      </w:pPr>
      <w:r>
        <w:t>13.4 异常识别规则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b/>
              </w:rPr>
              <w:t>异常类型</w:t>
            </w:r>
          </w:p>
        </w:tc>
        <w:tc>
          <w:tcPr>
            <w:tcW w:type="dxa" w:w="4759"/>
          </w:tcPr>
          <w:p>
            <w:r>
              <w:rPr>
                <w:b/>
              </w:rPr>
              <w:t>触发条件</w:t>
            </w:r>
          </w:p>
        </w:tc>
      </w:tr>
      <w:tr>
        <w:tc>
          <w:tcPr>
            <w:tcW w:type="dxa" w:w="4759"/>
          </w:tcPr>
          <w:p>
            <w:r>
              <w:t>每件均价偏低</w:t>
            </w:r>
          </w:p>
        </w:tc>
        <w:tc>
          <w:tcPr>
            <w:tcW w:type="dxa" w:w="4759"/>
          </w:tcPr>
          <w:p>
            <w:r>
              <w:t>至少 2 张结算单，且当前结算单每件均价低于同期整体每件均价的 80%。</w:t>
            </w:r>
          </w:p>
        </w:tc>
      </w:tr>
      <w:tr>
        <w:tc>
          <w:tcPr>
            <w:tcW w:type="dxa" w:w="4759"/>
          </w:tcPr>
          <w:p>
            <w:r>
              <w:t>等级销量占比偏离</w:t>
            </w:r>
          </w:p>
        </w:tc>
        <w:tc>
          <w:tcPr>
            <w:tcW w:type="dxa" w:w="4759"/>
          </w:tcPr>
          <w:p>
            <w:r>
              <w:t>至少 2 张结算单，且某等级销量占比较同期整体偏离超过 25 个百分点。</w:t>
            </w:r>
          </w:p>
        </w:tc>
      </w:tr>
      <w:tr>
        <w:tc>
          <w:tcPr>
            <w:tcW w:type="dxa" w:w="4759"/>
          </w:tcPr>
          <w:p>
            <w:r>
              <w:t>日销量偏离</w:t>
            </w:r>
          </w:p>
        </w:tc>
        <w:tc>
          <w:tcPr>
            <w:tcW w:type="dxa" w:w="4759"/>
          </w:tcPr>
          <w:p>
            <w:r>
              <w:t>至少 3 个销售日，且某日销量较同期中位数偏离超过 50%。</w:t>
            </w:r>
          </w:p>
        </w:tc>
      </w:tr>
    </w:tbl>
    <w:p>
      <w:pPr>
        <w:pStyle w:val="Heading1"/>
      </w:pPr>
      <w:r>
        <w:t>14. 安全与权限</w:t>
      </w:r>
    </w:p>
    <w:p>
      <w:pPr>
        <w:pStyle w:val="ListBullet"/>
      </w:pPr>
      <w:r>
        <w:t>业务页面和 API 均要求登录；公开演示页 /preview 不包含真实业务数据。</w:t>
      </w:r>
    </w:p>
    <w:p>
      <w:pPr>
        <w:pStyle w:val="ListBullet"/>
      </w:pPr>
      <w:r>
        <w:t>密码使用 Argon2 哈希存储。</w:t>
      </w:r>
    </w:p>
    <w:p>
      <w:pPr>
        <w:pStyle w:val="ListBullet"/>
      </w:pPr>
      <w:r>
        <w:t>登录会话使用服务端会话，数据库仅保存 token 的 SHA-256 哈希。</w:t>
      </w:r>
    </w:p>
    <w:p>
      <w:pPr>
        <w:pStyle w:val="ListBullet"/>
      </w:pPr>
      <w:r>
        <w:t>浏览器通过 HttpOnly Cookie 携带凭证，前端脚本无法读取。</w:t>
      </w:r>
    </w:p>
    <w:p>
      <w:pPr>
        <w:pStyle w:val="ListBullet"/>
      </w:pPr>
      <w:r>
        <w:t>用户名登录忽略大小写；错误提示不泄露账号是否存在。</w:t>
      </w:r>
    </w:p>
    <w:p>
      <w:pPr>
        <w:pStyle w:val="ListBullet"/>
      </w:pPr>
      <w:r>
        <w:t>会话可服务端撤销，退出登录会删除会话并清除 Cookie。</w:t>
      </w:r>
    </w:p>
    <w:p>
      <w:pPr>
        <w:pStyle w:val="ListBullet"/>
      </w:pPr>
      <w:r>
        <w:t>菜单、角色和权限由管理端统一维护，业务端只读派生；停用菜单整项隐藏。</w:t>
      </w:r>
    </w:p>
    <w:p>
      <w:pPr>
        <w:pStyle w:val="ListBullet"/>
      </w:pPr>
      <w:r>
        <w:t>顺仔问答、手工录单、导出等敏感能力均有对应权限点控制。</w:t>
      </w:r>
    </w:p>
    <w:p>
      <w:pPr>
        <w:pStyle w:val="ListBullet"/>
      </w:pPr>
      <w:r>
        <w:t>非测试库禁止执行 DROP TABLE / DROP DATABASE / DROP SCHEMA / TRUNCATE 等破坏性元数据操作。</w:t>
      </w:r>
    </w:p>
    <w:p>
      <w:pPr>
        <w:pStyle w:val="Heading1"/>
      </w:pPr>
      <w:r>
        <w:t>15. 非功能特性</w:t>
      </w:r>
    </w:p>
    <w:p>
      <w:pPr>
        <w:pStyle w:val="Heading2"/>
      </w:pPr>
      <w:r>
        <w:t>15.1 前端技术特点</w:t>
      </w:r>
    </w:p>
    <w:p>
      <w:pPr>
        <w:pStyle w:val="ListBullet"/>
      </w:pPr>
      <w:r>
        <w:t>Vue 3 + Vue Router + Vite，无状态管理库、无 UI 组件库、无图表库。</w:t>
      </w:r>
    </w:p>
    <w:p>
      <w:pPr>
        <w:pStyle w:val="ListBullet"/>
      </w:pPr>
      <w:r>
        <w:t>图表由手写 SVG 组件实现，保证移动端适配和主题一致性。</w:t>
      </w:r>
    </w:p>
    <w:p>
      <w:pPr>
        <w:pStyle w:val="ListBullet"/>
      </w:pPr>
      <w:r>
        <w:t>图表统一提供跟随式提示，提升可读性。</w:t>
      </w:r>
    </w:p>
    <w:p>
      <w:pPr>
        <w:pStyle w:val="ListBullet"/>
      </w:pPr>
      <w:r>
        <w:t>业务路由按需懒加载，图标深导入，降低首屏资源体积。</w:t>
      </w:r>
    </w:p>
    <w:p>
      <w:pPr>
        <w:pStyle w:val="ListBullet"/>
      </w:pPr>
      <w:r>
        <w:t>部署后旧哈希分片失效时，自动整页重载到目标路由，避免菜单点击无响应。</w:t>
      </w:r>
    </w:p>
    <w:p>
      <w:pPr>
        <w:pStyle w:val="Heading2"/>
      </w:pPr>
      <w:r>
        <w:t>15.2 后端技术特点</w:t>
      </w:r>
    </w:p>
    <w:p>
      <w:pPr>
        <w:pStyle w:val="ListBullet"/>
      </w:pPr>
      <w:r>
        <w:t>FastAPI + SQLAlchemy 2.0 + MySQL，单体前后端分离应用。</w:t>
      </w:r>
    </w:p>
    <w:p>
      <w:pPr>
        <w:pStyle w:val="ListBullet"/>
      </w:pPr>
      <w:r>
        <w:t>导入文件保存在后端 uploads 目录，业务数据入库；真实附件不入 Git。</w:t>
      </w:r>
    </w:p>
    <w:p>
      <w:pPr>
        <w:pStyle w:val="ListBullet"/>
      </w:pPr>
      <w:r>
        <w:t>金额使用 Decimal 计算，导出时做表格公式注入防护。</w:t>
      </w:r>
    </w:p>
    <w:p>
      <w:pPr>
        <w:pStyle w:val="ListBullet"/>
      </w:pPr>
      <w:r>
        <w:t>统一日志记录 method / path / status / duration_ms / request_id，未捕获异常写 exception。</w:t>
      </w:r>
    </w:p>
    <w:p>
      <w:pPr>
        <w:pStyle w:val="Heading2"/>
      </w:pPr>
      <w:r>
        <w:t>15.3 可用性</w:t>
      </w:r>
    </w:p>
    <w:p>
      <w:pPr>
        <w:pStyle w:val="ListBullet"/>
      </w:pPr>
      <w:r>
        <w:t>桌面端与移动端均完成响应式适配。</w:t>
      </w:r>
    </w:p>
    <w:p>
      <w:pPr>
        <w:pStyle w:val="ListBullet"/>
      </w:pPr>
      <w:r>
        <w:t>关键异步操作提供加载态、空状态和错误重试入口。</w:t>
      </w:r>
    </w:p>
    <w:p>
      <w:pPr>
        <w:pStyle w:val="ListBullet"/>
      </w:pPr>
      <w:r>
        <w:t>导入上传、明细弹窗、选择器抽屉等关键交互具备键盘/焦点和 aria 支持。</w:t>
      </w:r>
    </w:p>
    <w:p>
      <w:pPr>
        <w:pStyle w:val="ListBullet"/>
      </w:pPr>
      <w:r>
        <w:t>前端日志对敏感字段自动脱敏。</w:t>
      </w:r>
    </w:p>
    <w:p>
      <w:pPr>
        <w:pStyle w:val="Heading1"/>
      </w:pPr>
      <w:r>
        <w:t>16. 已知限制与后续计划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759"/>
          </w:tcPr>
          <w:p>
            <w:r>
              <w:rPr>
                <w:b/>
              </w:rPr>
              <w:t>当前状态</w:t>
            </w:r>
          </w:p>
        </w:tc>
      </w:tr>
      <w:tr>
        <w:tc>
          <w:tcPr>
            <w:tcW w:type="dxa" w:w="4759"/>
          </w:tcPr>
          <w:p>
            <w:r>
              <w:t>利润测算</w:t>
            </w:r>
          </w:p>
        </w:tc>
        <w:tc>
          <w:tcPr>
            <w:tcW w:type="dxa" w:w="4759"/>
          </w:tcPr>
          <w:p>
            <w:r>
              <w:t>暂未实现；受采购成本、国内物流与报关费用数据未提供阻塞。</w:t>
            </w:r>
          </w:p>
        </w:tc>
      </w:tr>
      <w:tr>
        <w:tc>
          <w:tcPr>
            <w:tcW w:type="dxa" w:w="4759"/>
          </w:tcPr>
          <w:p>
            <w:r>
              <w:t>销售地区维度</w:t>
            </w:r>
          </w:p>
        </w:tc>
        <w:tc>
          <w:tcPr>
            <w:tcW w:type="dxa" w:w="4759"/>
          </w:tcPr>
          <w:p>
            <w:r>
              <w:t>字段已预留，待源数据带地区后回填并出报表。</w:t>
            </w:r>
          </w:p>
        </w:tc>
      </w:tr>
      <w:tr>
        <w:tc>
          <w:tcPr>
            <w:tcW w:type="dxa" w:w="4759"/>
          </w:tcPr>
          <w:p>
            <w:r>
              <w:t>导入日期别名</w:t>
            </w:r>
          </w:p>
        </w:tc>
        <w:tc>
          <w:tcPr>
            <w:tcW w:type="dxa" w:w="4759"/>
          </w:tcPr>
          <w:p>
            <w:r>
              <w:t>当前识别销售日期/日期/销售时间，待确认客户实际表头后再扩展。</w:t>
            </w:r>
          </w:p>
        </w:tc>
      </w:tr>
      <w:tr>
        <w:tc>
          <w:tcPr>
            <w:tcW w:type="dxa" w:w="4759"/>
          </w:tcPr>
          <w:p>
            <w:r>
              <w:t>品牌后续能力</w:t>
            </w:r>
          </w:p>
        </w:tc>
        <w:tc>
          <w:tcPr>
            <w:tcW w:type="dxa" w:w="4759"/>
          </w:tcPr>
          <w:p>
            <w:r>
              <w:t>到港日期、元/KG 换算、品牌 Excel 导出、品牌别名字典待后续建设。</w:t>
            </w:r>
          </w:p>
        </w:tc>
      </w:tr>
      <w:tr>
        <w:tc>
          <w:tcPr>
            <w:tcW w:type="dxa" w:w="4759"/>
          </w:tcPr>
          <w:p>
            <w:r>
              <w:t>真实数据验收</w:t>
            </w:r>
          </w:p>
        </w:tc>
        <w:tc>
          <w:tcPr>
            <w:tcW w:type="dxa" w:w="4759"/>
          </w:tcPr>
          <w:p>
            <w:r>
              <w:t>当前主要基于示例结算单，字段组合待真实数据到位后复验。</w:t>
            </w:r>
          </w:p>
        </w:tc>
      </w:tr>
      <w:tr>
        <w:tc>
          <w:tcPr>
            <w:tcW w:type="dxa" w:w="4759"/>
          </w:tcPr>
          <w:p>
            <w:r>
              <w:t>AI 分析</w:t>
            </w:r>
          </w:p>
        </w:tc>
        <w:tc>
          <w:tcPr>
            <w:tcW w:type="dxa" w:w="4759"/>
          </w:tcPr>
          <w:p>
            <w:r>
              <w:t>需要配置外部模型服务；未配置时相关按钮/接口不可用，不影响核心功能。</w:t>
            </w:r>
          </w:p>
        </w:tc>
      </w:tr>
      <w:tr>
        <w:tc>
          <w:tcPr>
            <w:tcW w:type="dxa" w:w="4759"/>
          </w:tcPr>
          <w:p>
            <w:r>
              <w:t>管理端菜单</w:t>
            </w:r>
          </w:p>
        </w:tc>
        <w:tc>
          <w:tcPr>
            <w:tcW w:type="dxa" w:w="4759"/>
          </w:tcPr>
          <w:p>
            <w:r>
              <w:t>管理端新增菜单不会自动出现在业务端侧栏，需前端补路由与槽位。</w:t>
            </w:r>
          </w:p>
        </w:tc>
      </w:tr>
    </w:tbl>
    <w:p>
      <w:pPr>
        <w:pStyle w:val="Heading1"/>
      </w:pPr>
      <w:r>
        <w:t>17. 附录：功能与接口对照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b/>
              </w:rPr>
              <w:t>前端页面/功能</w:t>
            </w:r>
          </w:p>
        </w:tc>
        <w:tc>
          <w:tcPr>
            <w:tcW w:type="dxa" w:w="4759"/>
          </w:tcPr>
          <w:p>
            <w:r>
              <w:rPr>
                <w:b/>
              </w:rPr>
              <w:t>主要接口</w:t>
            </w:r>
          </w:p>
        </w:tc>
      </w:tr>
      <w:tr>
        <w:tc>
          <w:tcPr>
            <w:tcW w:type="dxa" w:w="4759"/>
          </w:tcPr>
          <w:p>
            <w:r>
              <w:t>注册 / 登录 / 当前用户 / 退出</w:t>
            </w:r>
          </w:p>
        </w:tc>
        <w:tc>
          <w:tcPr>
            <w:tcW w:type="dxa" w:w="4759"/>
          </w:tcPr>
          <w:p>
            <w:r>
              <w:t>POST /api/auth/register、/login、/logout；GET /api/auth/me</w:t>
            </w:r>
          </w:p>
        </w:tc>
      </w:tr>
      <w:tr>
        <w:tc>
          <w:tcPr>
            <w:tcW w:type="dxa" w:w="4759"/>
          </w:tcPr>
          <w:p>
            <w:r>
              <w:t>忘记密码</w:t>
            </w:r>
          </w:p>
        </w:tc>
        <w:tc>
          <w:tcPr>
            <w:tcW w:type="dxa" w:w="4759"/>
          </w:tcPr>
          <w:p>
            <w:r>
              <w:t>POST /api/auth/forgot-password/send-code、/verify-code、/reset</w:t>
            </w:r>
          </w:p>
        </w:tc>
      </w:tr>
      <w:tr>
        <w:tc>
          <w:tcPr>
            <w:tcW w:type="dxa" w:w="4759"/>
          </w:tcPr>
          <w:p>
            <w:r>
              <w:t>文件导入与二次确认</w:t>
            </w:r>
          </w:p>
        </w:tc>
        <w:tc>
          <w:tcPr>
            <w:tcW w:type="dxa" w:w="4759"/>
          </w:tcPr>
          <w:p>
            <w:r>
              <w:t>POST /api/imports/preview；GET/PUT /api/imports/jobs/{job}/drafts/{draft}；POST /api/imports/jobs/{job}/confirm</w:t>
            </w:r>
          </w:p>
        </w:tc>
      </w:tr>
      <w:tr>
        <w:tc>
          <w:tcPr>
            <w:tcW w:type="dxa" w:w="4759"/>
          </w:tcPr>
          <w:p>
            <w:r>
              <w:t>导入记录与问题</w:t>
            </w:r>
          </w:p>
        </w:tc>
        <w:tc>
          <w:tcPr>
            <w:tcW w:type="dxa" w:w="4759"/>
          </w:tcPr>
          <w:p>
            <w:r>
              <w:t>GET /api/imports；GET /api/imports/{batch_id}/issues；POST /api/imports/{batch_id}/issues/{issue_id}/resolve；GET /api/imports/{batch_id}/issues.csv</w:t>
            </w:r>
          </w:p>
        </w:tc>
      </w:tr>
      <w:tr>
        <w:tc>
          <w:tcPr>
            <w:tcW w:type="dxa" w:w="4759"/>
          </w:tcPr>
          <w:p>
            <w:r>
              <w:t>手工录单</w:t>
            </w:r>
          </w:p>
        </w:tc>
        <w:tc>
          <w:tcPr>
            <w:tcW w:type="dxa" w:w="4759"/>
          </w:tcPr>
          <w:p>
            <w:r>
              <w:t>POST /api/entry；GET/PUT /api/entry/{merchant_no}；GET/PUT/DELETE /api/entry/draft；GET /api/entry/field-options</w:t>
            </w:r>
          </w:p>
        </w:tc>
      </w:tr>
      <w:tr>
        <w:tc>
          <w:tcPr>
            <w:tcW w:type="dxa" w:w="4759"/>
          </w:tcPr>
          <w:p>
            <w:r>
              <w:t>销售总览</w:t>
            </w:r>
          </w:p>
        </w:tc>
        <w:tc>
          <w:tcPr>
            <w:tcW w:type="dxa" w:w="4759"/>
          </w:tcPr>
          <w:p>
            <w:r>
              <w:t>GET /api/analytics/overview；GET /api/analytics/grade-breakdown</w:t>
            </w:r>
          </w:p>
        </w:tc>
      </w:tr>
      <w:tr>
        <w:tc>
          <w:tcPr>
            <w:tcW w:type="dxa" w:w="4759"/>
          </w:tcPr>
          <w:p>
            <w:r>
              <w:t>数据明细</w:t>
            </w:r>
          </w:p>
        </w:tc>
        <w:tc>
          <w:tcPr>
            <w:tcW w:type="dxa" w:w="4759"/>
          </w:tcPr>
          <w:p>
            <w:r>
              <w:t>GET /api/settlements；GET /api/settlements/{merchant_no}/records；GET /api/settlements/{merchant_no}/review；DELETE /api/settlements/{merchant_no}</w:t>
            </w:r>
          </w:p>
        </w:tc>
      </w:tr>
      <w:tr>
        <w:tc>
          <w:tcPr>
            <w:tcW w:type="dxa" w:w="4759"/>
          </w:tcPr>
          <w:p>
            <w:r>
              <w:t>结算单详情</w:t>
            </w:r>
          </w:p>
        </w:tc>
        <w:tc>
          <w:tcPr>
            <w:tcW w:type="dxa" w:w="4759"/>
          </w:tcPr>
          <w:p>
            <w:r>
              <w:t>GET /api/analytics/settlements/{merchant_no}；GET /api/analytics/trend</w:t>
            </w:r>
          </w:p>
        </w:tc>
      </w:tr>
      <w:tr>
        <w:tc>
          <w:tcPr>
            <w:tcW w:type="dxa" w:w="4759"/>
          </w:tcPr>
          <w:p>
            <w:r>
              <w:t>结算单对比</w:t>
            </w:r>
          </w:p>
        </w:tc>
        <w:tc>
          <w:tcPr>
            <w:tcW w:type="dxa" w:w="4759"/>
          </w:tcPr>
          <w:p>
            <w:r>
              <w:t>GET /api/analytics/settlement-comparison</w:t>
            </w:r>
          </w:p>
        </w:tc>
      </w:tr>
      <w:tr>
        <w:tc>
          <w:tcPr>
            <w:tcW w:type="dxa" w:w="4759"/>
          </w:tcPr>
          <w:p>
            <w:r>
              <w:t>品牌对比</w:t>
            </w:r>
          </w:p>
        </w:tc>
        <w:tc>
          <w:tcPr>
            <w:tcW w:type="dxa" w:w="4759"/>
          </w:tcPr>
          <w:p>
            <w:r>
              <w:t>GET /api/analytics/series-comparison；GET /api/settlements</w:t>
            </w:r>
          </w:p>
        </w:tc>
      </w:tr>
      <w:tr>
        <w:tc>
          <w:tcPr>
            <w:tcW w:type="dxa" w:w="4759"/>
          </w:tcPr>
          <w:p>
            <w:r>
              <w:t>AI 分析</w:t>
            </w:r>
          </w:p>
        </w:tc>
        <w:tc>
          <w:tcPr>
            <w:tcW w:type="dxa" w:w="4759"/>
          </w:tcPr>
          <w:p>
            <w:r>
              <w:t>POST /api/analytics/settlements/{merchant_no}/analysis；POST /api/analytics/series-comparison/analysis；POST /api/analytics/grade-detail/analysis</w:t>
            </w:r>
          </w:p>
        </w:tc>
      </w:tr>
      <w:tr>
        <w:tc>
          <w:tcPr>
            <w:tcW w:type="dxa" w:w="4759"/>
          </w:tcPr>
          <w:p>
            <w:r>
              <w:t>顺仔问答</w:t>
            </w:r>
          </w:p>
        </w:tc>
        <w:tc>
          <w:tcPr>
            <w:tcW w:type="dxa" w:w="4759"/>
          </w:tcPr>
          <w:p>
            <w:r>
              <w:t>POST /api/ask</w:t>
            </w:r>
          </w:p>
        </w:tc>
      </w:tr>
      <w:tr>
        <w:tc>
          <w:tcPr>
            <w:tcW w:type="dxa" w:w="4759"/>
          </w:tcPr>
          <w:p>
            <w:r>
              <w:t>导出与追溯</w:t>
            </w:r>
          </w:p>
        </w:tc>
        <w:tc>
          <w:tcPr>
            <w:tcW w:type="dxa" w:w="4759"/>
          </w:tcPr>
          <w:p>
            <w:r>
              <w:t>GET /api/exports/overview.csv；GET /api/exports/settlements.xlsx；GET /api/exports/settlements/{merchant_no}.xlsx；GET /api/exports/settlements/{merchant_no}/template.xlsx、/template.pdf；GET /api/exports/records/{record_id}/source</w:t>
            </w:r>
          </w:p>
        </w:tc>
      </w:tr>
      <w:tr>
        <w:tc>
          <w:tcPr>
            <w:tcW w:type="dxa" w:w="4759"/>
          </w:tcPr>
          <w:p>
            <w:r>
              <w:t>站内通知</w:t>
            </w:r>
          </w:p>
        </w:tc>
        <w:tc>
          <w:tcPr>
            <w:tcW w:type="dxa" w:w="4759"/>
          </w:tcPr>
          <w:p>
            <w:r>
              <w:t>GET /api/notifications；GET /api/notifications/unread-count；POST /api/notifications/{notification_id}/read；POST /api/notifications/read-all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微软雅黑"/>
        <w:color w:val="5B6B64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Calibri" w:hAnsi="Calibri" w:eastAsia="微软雅黑"/>
      <w:color w:val="2028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4E3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4E3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20282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 w:eastAsia="微软雅黑"/>
      <w:b/>
      <w:color w:val="1F4E3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SLD-水果市场销售分析 功能说明书</dc:title>
  <dc:subject>水果市场销售分析系统功能说明书</dc:subject>
  <dc:creator>Codex</dc:creator>
  <cp:keywords>水果, 销售分析, A/B/C, 结算单, 系列对比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