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SLD-水果市场销售分析系统报价单</w:t>
      </w:r>
    </w:p>
    <w:p>
      <w:pPr>
        <w:pStyle w:val="Subtitle"/>
      </w:pPr>
      <w:r>
        <w:t>（草案）</w:t>
      </w:r>
    </w:p>
    <w:p>
      <w:pPr/>
      <w:r>
        <w:t>文档版本：V0.3  |  编制日期：2026-09-21  |  状态：已按最新口径更新，腾讯会议计费方式确认后定稿</w:t>
      </w:r>
    </w:p>
    <w:p>
      <w:pPr/>
      <w:r>
        <w:t>本报价单为商务沟通草案，金额与规格均需双方确认；正式签署前不作为结算承诺。</w:t>
      </w:r>
    </w:p>
    <w:p>
      <w:pPr>
        <w:pStyle w:val="Heading1"/>
      </w:pPr>
      <w:r>
        <w:t>1. 报价说明</w:t>
      </w:r>
    </w:p>
    <w:p>
      <w:pPr>
        <w:pStyle w:val="ListBullet"/>
      </w:pPr>
      <w:r>
        <w:t>项目：SLD-水果市场销售分析系统。</w:t>
      </w:r>
    </w:p>
    <w:p>
      <w:pPr>
        <w:pStyle w:val="ListBullet"/>
      </w:pPr>
      <w:r>
        <w:t>用途：为果农提供「录单/导入 → 看板 → 单柜诊断 → 货柜/品牌对比 → 导出与顺仔问答」的销售分析工具。</w:t>
      </w:r>
    </w:p>
    <w:p>
      <w:pPr>
        <w:pStyle w:val="ListBullet"/>
      </w:pPr>
      <w:r>
        <w:t>报价范围：软件开发与实施、服务器及云资源、域名全打通、微信生态账号开通、持续需求沟通与功能演示确认。</w:t>
      </w:r>
    </w:p>
    <w:p>
      <w:pPr>
        <w:pStyle w:val="ListBullet"/>
      </w:pPr>
      <w:r>
        <w:t>工作量依据：`docs/2026-09-21-系统迭代过程与功能工作量清单.md`、`docs/lwq/项目成本计算.md`、`docs/lwq/会议纪要汇总_20260907-20260921.xlsx` 及仓库 Git 提交历史、测试与交付记录。</w:t>
      </w:r>
    </w:p>
    <w:p>
      <w:pPr>
        <w:pStyle w:val="ListBullet"/>
      </w:pPr>
      <w:r>
        <w:t>计价方式：软件开发与实施按人日计价；云资源、域名、微信生态费用按外购实际成本列支。</w:t>
      </w:r>
    </w:p>
    <w:p>
      <w:pPr>
        <w:pStyle w:val="Heading1"/>
      </w:pPr>
      <w:r>
        <w:t>2. 报价范围与服务边界</w:t>
      </w:r>
    </w:p>
    <w:p>
      <w:pPr/>
      <w:r>
        <w:t>已交付能力：</w:t>
      </w:r>
    </w:p>
    <w:p>
      <w:pPr>
        <w:pStyle w:val="ListBullet"/>
      </w:pPr>
      <w:r>
        <w:t>文件导入与二次确认、手工录单、导入记录与问题处理。</w:t>
      </w:r>
    </w:p>
    <w:p>
      <w:pPr>
        <w:pStyle w:val="ListBullet"/>
      </w:pPr>
      <w:r>
        <w:t>销售总览、数据明细、结算单详情、结算单对比、品牌对比、等级与规格细分。</w:t>
      </w:r>
    </w:p>
    <w:p>
      <w:pPr>
        <w:pStyle w:val="ListBullet"/>
      </w:pPr>
      <w:r>
        <w:t>顺仔自然语言数据问答与多页面 AI 分析。</w:t>
      </w:r>
    </w:p>
    <w:p>
      <w:pPr>
        <w:pStyle w:val="ListBullet"/>
      </w:pPr>
      <w:r>
        <w:t>登录注册、忘记密码、角色权限、菜单控制、站内通知。</w:t>
      </w:r>
    </w:p>
    <w:p>
      <w:pPr>
        <w:pStyle w:val="ListBullet"/>
      </w:pPr>
      <w:r>
        <w:t>CSV / XLSX / PDF 导出、来源追溯。</w:t>
      </w:r>
    </w:p>
    <w:p>
      <w:pPr>
        <w:pStyle w:val="ListBullet"/>
      </w:pPr>
      <w:r>
        <w:t>桌面端与手机端响应式适配、生产部署与运维加固。</w:t>
      </w:r>
    </w:p>
    <w:p>
      <w:pPr/>
      <w:r>
        <w:t>不在本报价范围，需另行确认：</w:t>
      </w:r>
    </w:p>
    <w:p>
      <w:pPr>
        <w:pStyle w:val="ListBullet"/>
      </w:pPr>
      <w:r>
        <w:t>利润测算、销售地区维度等第二期能力。</w:t>
      </w:r>
    </w:p>
    <w:p>
      <w:pPr>
        <w:pStyle w:val="ListBullet"/>
      </w:pPr>
      <w:r>
        <w:t>大量历史数据清洗、外部系统对接、定制品牌设计等新增需求。</w:t>
      </w:r>
    </w:p>
    <w:p>
      <w:pPr>
        <w:pStyle w:val="ListBullet"/>
      </w:pPr>
      <w:r>
        <w:t>客户自有服务器或机房环境改造。</w:t>
      </w:r>
    </w:p>
    <w:p>
      <w:pPr>
        <w:pStyle w:val="Heading1"/>
      </w:pPr>
      <w:r>
        <w:t>3. 人力投入与软件开发实施费</w:t>
      </w:r>
    </w:p>
    <w:p>
      <w:pPr>
        <w:pStyle w:val="Heading2"/>
      </w:pPr>
      <w:r>
        <w:t>3.1 投入角色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3173"/>
          </w:tcPr>
          <w:p>
            <w:r>
              <w:rPr>
                <w:b/>
              </w:rPr>
              <w:t>主要职责</w:t>
            </w:r>
          </w:p>
        </w:tc>
        <w:tc>
          <w:tcPr>
            <w:tcW w:type="dxa" w:w="3173"/>
          </w:tcPr>
          <w:p>
            <w:r>
              <w:rPr>
                <w:b/>
              </w:rPr>
              <w:t>建议配置</w:t>
            </w:r>
          </w:p>
        </w:tc>
      </w:tr>
      <w:tr>
        <w:tc>
          <w:tcPr>
            <w:tcW w:type="dxa" w:w="3173"/>
          </w:tcPr>
          <w:p>
            <w:r>
              <w:t>梁万琪（开发实施）</w:t>
            </w:r>
          </w:p>
        </w:tc>
        <w:tc>
          <w:tcPr>
            <w:tcW w:type="dxa" w:w="3173"/>
          </w:tcPr>
          <w:p>
            <w:r>
              <w:t>需求分析、架构设计、前后端开发、AI 能力接入、自动化测试、上线修复</w:t>
            </w:r>
          </w:p>
        </w:tc>
        <w:tc>
          <w:tcPr>
            <w:tcW w:type="dxa" w:w="3173"/>
          </w:tcPr>
          <w:p>
            <w:r>
              <w:t>30 人日</w:t>
            </w:r>
          </w:p>
        </w:tc>
      </w:tr>
      <w:tr>
        <w:tc>
          <w:tcPr>
            <w:tcW w:type="dxa" w:w="3173"/>
          </w:tcPr>
          <w:p>
            <w:r>
              <w:t>林霆枫（实施运维）</w:t>
            </w:r>
          </w:p>
        </w:tc>
        <w:tc>
          <w:tcPr>
            <w:tcW w:type="dxa" w:w="3173"/>
          </w:tcPr>
          <w:p>
            <w:r>
              <w:t>环境搭建、部署、数据迁移、测试回归、培训、文档、持续沟通与上线后运维</w:t>
            </w:r>
          </w:p>
        </w:tc>
        <w:tc>
          <w:tcPr>
            <w:tcW w:type="dxa" w:w="3173"/>
          </w:tcPr>
          <w:p>
            <w:r>
              <w:t>30 人日</w:t>
            </w:r>
          </w:p>
        </w:tc>
      </w:tr>
    </w:tbl>
    <w:p>
      <w:pPr>
        <w:pStyle w:val="Heading2"/>
      </w:pPr>
      <w:r>
        <w:t>3.2 工作量估算</w:t>
      </w:r>
    </w:p>
    <w:p>
      <w:pPr/>
      <w:r>
        <w:t>依据 `docs/lwq/项目成本计算.md` 的预估，两名工程师各投入 30 人日，合计 60 人日。</w:t>
      </w:r>
    </w:p>
    <w:p>
      <w:pPr>
        <w:pStyle w:val="Heading2"/>
      </w:pPr>
      <w:r>
        <w:t>3.3 人力费用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379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2379"/>
          </w:tcPr>
          <w:p>
            <w:r>
              <w:rPr>
                <w:b/>
              </w:rPr>
              <w:t>单价</w:t>
            </w:r>
          </w:p>
        </w:tc>
        <w:tc>
          <w:tcPr>
            <w:tcW w:type="dxa" w:w="2379"/>
          </w:tcPr>
          <w:p>
            <w:r>
              <w:rPr>
                <w:b/>
              </w:rPr>
              <w:t>小计</w:t>
            </w:r>
          </w:p>
        </w:tc>
      </w:tr>
      <w:tr>
        <w:tc>
          <w:tcPr>
            <w:tcW w:type="dxa" w:w="2379"/>
          </w:tcPr>
          <w:p>
            <w:r>
              <w:t>梁万琪开发实施费</w:t>
            </w:r>
          </w:p>
        </w:tc>
        <w:tc>
          <w:tcPr>
            <w:tcW w:type="dxa" w:w="2379"/>
          </w:tcPr>
          <w:p>
            <w:r>
              <w:t>30 人日</w:t>
            </w:r>
          </w:p>
        </w:tc>
        <w:tc>
          <w:tcPr>
            <w:tcW w:type="dxa" w:w="2379"/>
          </w:tcPr>
          <w:p>
            <w:r>
              <w:t>¥1,500 /人日</w:t>
            </w:r>
          </w:p>
        </w:tc>
        <w:tc>
          <w:tcPr>
            <w:tcW w:type="dxa" w:w="2379"/>
          </w:tcPr>
          <w:p>
            <w:r>
              <w:t>¥45,000.00</w:t>
            </w:r>
          </w:p>
        </w:tc>
      </w:tr>
      <w:tr>
        <w:tc>
          <w:tcPr>
            <w:tcW w:type="dxa" w:w="2379"/>
          </w:tcPr>
          <w:p>
            <w:r>
              <w:t>林霆枫实施运维费</w:t>
            </w:r>
          </w:p>
        </w:tc>
        <w:tc>
          <w:tcPr>
            <w:tcW w:type="dxa" w:w="2379"/>
          </w:tcPr>
          <w:p>
            <w:r>
              <w:t>30 人日</w:t>
            </w:r>
          </w:p>
        </w:tc>
        <w:tc>
          <w:tcPr>
            <w:tcW w:type="dxa" w:w="2379"/>
          </w:tcPr>
          <w:p>
            <w:r>
              <w:t>¥1,500 /人日</w:t>
            </w:r>
          </w:p>
        </w:tc>
        <w:tc>
          <w:tcPr>
            <w:tcW w:type="dxa" w:w="2379"/>
          </w:tcPr>
          <w:p>
            <w:r>
              <w:t>¥45,000.00</w:t>
            </w:r>
          </w:p>
        </w:tc>
      </w:tr>
      <w:tr>
        <w:tc>
          <w:tcPr>
            <w:tcW w:type="dxa" w:w="2379"/>
          </w:tcPr>
          <w:p>
            <w:r>
              <w:t>软件开发实施费小计</w:t>
            </w:r>
          </w:p>
        </w:tc>
        <w:tc>
          <w:tcPr>
            <w:tcW w:type="dxa" w:w="2379"/>
          </w:tcPr>
          <w:p>
            <w:r>
              <w:t>60 人日</w:t>
            </w:r>
          </w:p>
        </w:tc>
        <w:tc>
          <w:tcPr>
            <w:tcW w:type="dxa" w:w="2379"/>
          </w:tcPr>
          <w:p>
            <w:r>
              <w:t>—</w:t>
            </w:r>
          </w:p>
        </w:tc>
        <w:tc>
          <w:tcPr>
            <w:tcW w:type="dxa" w:w="2379"/>
          </w:tcPr>
          <w:p>
            <w:r>
              <w:t>¥90,000.00</w:t>
            </w:r>
          </w:p>
        </w:tc>
      </w:tr>
    </w:tbl>
    <w:p>
      <w:pPr>
        <w:pStyle w:val="Heading2"/>
      </w:pPr>
      <w:r>
        <w:t>3.4 工程师人日单价市场参考</w:t>
      </w:r>
    </w:p>
    <w:p>
      <w:pPr/>
      <w:r>
        <w:t>本参考仅用于说明单价合理性，不作为承诺或定价上限：</w:t>
      </w:r>
    </w:p>
    <w:p>
      <w:pPr>
        <w:pStyle w:val="ListBullet"/>
      </w:pPr>
      <w:r>
        <w:t>全栈 / 平台类工程师市场常见区间：约 ¥1,000–2,500 元/人日。</w:t>
      </w:r>
    </w:p>
    <w:p>
      <w:pPr>
        <w:pStyle w:val="ListBullet"/>
      </w:pPr>
      <w:r>
        <w:t>政府或企业采购类 Java 工程师：高级 5 年以上约 ¥1,500，中级 3–5 年约 ¥1,300，初级 1–3 年约 ¥1,000。</w:t>
      </w:r>
    </w:p>
    <w:p>
      <w:pPr>
        <w:pStyle w:val="ListBullet"/>
      </w:pPr>
      <w:r>
        <w:t>工信部电子第五研究所外协参考：开发工程师初级约 ¥900，中级约 ¥1,100，高级约 ¥1,300；不同工种最高限价可上探至约 ¥1,580。</w:t>
      </w:r>
    </w:p>
    <w:p>
      <w:pPr>
        <w:pStyle w:val="ListBullet"/>
      </w:pPr>
      <w:r>
        <w:t>小程序开发人工参考：约 ¥500–1,000 元/人日。</w:t>
      </w:r>
    </w:p>
    <w:p>
      <w:pPr/>
      <w:r>
        <w:t>结论：本项目按 ¥1,500 元/人日计价，处于市场中等偏上且可解释的合理区间。</w:t>
      </w:r>
    </w:p>
    <w:p>
      <w:pPr/>
      <w:r>
        <w:t>详细来源见 `docs/lwq/工程师人日市场参考.md`。</w:t>
      </w:r>
    </w:p>
    <w:p>
      <w:pPr>
        <w:pStyle w:val="Heading1"/>
      </w:pPr>
      <w:r>
        <w:t>4. 云资源与域名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379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379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2379"/>
          </w:tcPr>
          <w:p>
            <w:r>
              <w:rPr>
                <w:b/>
              </w:rPr>
              <w:t>外购费用</w:t>
            </w:r>
          </w:p>
        </w:tc>
      </w:tr>
      <w:tr>
        <w:tc>
          <w:tcPr>
            <w:tcW w:type="dxa" w:w="2379"/>
          </w:tcPr>
          <w:p>
            <w:r>
              <w:t>阿里云 ECS 应用服务器</w:t>
            </w:r>
          </w:p>
        </w:tc>
        <w:tc>
          <w:tcPr>
            <w:tcW w:type="dxa" w:w="2379"/>
          </w:tcPr>
          <w:p>
            <w:r>
              <w:t>托管生产环境前后端应用</w:t>
            </w:r>
          </w:p>
        </w:tc>
        <w:tc>
          <w:tcPr>
            <w:tcW w:type="dxa" w:w="2379"/>
          </w:tcPr>
          <w:p>
            <w:r>
              <w:t>1 台</w:t>
            </w:r>
          </w:p>
        </w:tc>
        <w:tc>
          <w:tcPr>
            <w:tcW w:type="dxa" w:w="2379"/>
          </w:tcPr>
          <w:p>
            <w:r>
              <w:t>含于合计</w:t>
            </w:r>
          </w:p>
        </w:tc>
      </w:tr>
      <w:tr>
        <w:tc>
          <w:tcPr>
            <w:tcW w:type="dxa" w:w="2379"/>
          </w:tcPr>
          <w:p>
            <w:r>
              <w:t>阿里云 RDS MySQL</w:t>
            </w:r>
          </w:p>
        </w:tc>
        <w:tc>
          <w:tcPr>
            <w:tcW w:type="dxa" w:w="2379"/>
          </w:tcPr>
          <w:p>
            <w:r>
              <w:t>生产业务数据库</w:t>
            </w:r>
          </w:p>
        </w:tc>
        <w:tc>
          <w:tcPr>
            <w:tcW w:type="dxa" w:w="2379"/>
          </w:tcPr>
          <w:p>
            <w:r>
              <w:t>1 台</w:t>
            </w:r>
          </w:p>
        </w:tc>
        <w:tc>
          <w:tcPr>
            <w:tcW w:type="dxa" w:w="2379"/>
          </w:tcPr>
          <w:p>
            <w:r>
              <w:t>含于合计</w:t>
            </w:r>
          </w:p>
        </w:tc>
      </w:tr>
      <w:tr>
        <w:tc>
          <w:tcPr>
            <w:tcW w:type="dxa" w:w="2379"/>
          </w:tcPr>
          <w:p>
            <w:r>
              <w:t>域名</w:t>
            </w:r>
          </w:p>
        </w:tc>
        <w:tc>
          <w:tcPr>
            <w:tcW w:type="dxa" w:w="2379"/>
          </w:tcPr>
          <w:p>
            <w:r>
              <w:t>系统访问入口</w:t>
            </w:r>
          </w:p>
        </w:tc>
        <w:tc>
          <w:tcPr>
            <w:tcW w:type="dxa" w:w="2379"/>
          </w:tcPr>
          <w:p>
            <w:r>
              <w:t>1 个</w:t>
            </w:r>
          </w:p>
        </w:tc>
        <w:tc>
          <w:tcPr>
            <w:tcW w:type="dxa" w:w="2379"/>
          </w:tcPr>
          <w:p>
            <w:r>
              <w:t>含于合计</w:t>
            </w:r>
          </w:p>
        </w:tc>
      </w:tr>
      <w:tr>
        <w:tc>
          <w:tcPr>
            <w:tcW w:type="dxa" w:w="2379"/>
          </w:tcPr>
          <w:p>
            <w:r>
              <w:t>安全服务</w:t>
            </w:r>
          </w:p>
        </w:tc>
        <w:tc>
          <w:tcPr>
            <w:tcW w:type="dxa" w:w="2379"/>
          </w:tcPr>
          <w:p>
            <w:r>
              <w:t>安全防护等</w:t>
            </w:r>
          </w:p>
        </w:tc>
        <w:tc>
          <w:tcPr>
            <w:tcW w:type="dxa" w:w="2379"/>
          </w:tcPr>
          <w:p>
            <w:r>
              <w:t>若干</w:t>
            </w:r>
          </w:p>
        </w:tc>
        <w:tc>
          <w:tcPr>
            <w:tcW w:type="dxa" w:w="2379"/>
          </w:tcPr>
          <w:p>
            <w:r>
              <w:t>含于合计</w:t>
            </w:r>
          </w:p>
        </w:tc>
      </w:tr>
      <w:tr>
        <w:tc>
          <w:tcPr>
            <w:tcW w:type="dxa" w:w="2379"/>
          </w:tcPr>
          <w:p>
            <w:r>
              <w:t>生产云资源与域名小计</w:t>
            </w:r>
          </w:p>
        </w:tc>
        <w:tc>
          <w:tcPr>
            <w:tcW w:type="dxa" w:w="2379"/>
          </w:tcPr>
          <w:p>
            <w:r>
              <w:t>2026-09-20 台账合计，四项未拆单列</w:t>
            </w:r>
          </w:p>
        </w:tc>
        <w:tc>
          <w:tcPr>
            <w:tcW w:type="dxa" w:w="2379"/>
          </w:tcPr>
          <w:p>
            <w:r>
              <w:t>—</w:t>
            </w:r>
          </w:p>
        </w:tc>
        <w:tc>
          <w:tcPr>
            <w:tcW w:type="dxa" w:w="2379"/>
          </w:tcPr>
          <w:p>
            <w:r>
              <w:t>¥3,299.28</w:t>
            </w:r>
          </w:p>
        </w:tc>
      </w:tr>
      <w:tr>
        <w:tc>
          <w:tcPr>
            <w:tcW w:type="dxa" w:w="2379"/>
          </w:tcPr>
          <w:p>
            <w:r>
              <w:t>预留测试服务器</w:t>
            </w:r>
          </w:p>
        </w:tc>
        <w:tc>
          <w:tcPr>
            <w:tcW w:type="dxa" w:w="2379"/>
          </w:tcPr>
          <w:p>
            <w:r>
              <w:t>4C8G，用于测试 / 预发布环境</w:t>
            </w:r>
          </w:p>
        </w:tc>
        <w:tc>
          <w:tcPr>
            <w:tcW w:type="dxa" w:w="2379"/>
          </w:tcPr>
          <w:p>
            <w:r>
              <w:t>1 台</w:t>
            </w:r>
          </w:p>
        </w:tc>
        <w:tc>
          <w:tcPr>
            <w:tcW w:type="dxa" w:w="2379"/>
          </w:tcPr>
          <w:p>
            <w:r>
              <w:t>¥3,500.00</w:t>
            </w:r>
          </w:p>
        </w:tc>
      </w:tr>
      <w:tr>
        <w:tc>
          <w:tcPr>
            <w:tcW w:type="dxa" w:w="2379"/>
          </w:tcPr>
          <w:p>
            <w:r>
              <w:t>云资源与域名合计</w:t>
            </w:r>
          </w:p>
        </w:tc>
        <w:tc>
          <w:tcPr>
            <w:tcW w:type="dxa" w:w="2379"/>
          </w:tcPr>
          <w:p>
            <w:r/>
          </w:p>
        </w:tc>
        <w:tc>
          <w:tcPr>
            <w:tcW w:type="dxa" w:w="2379"/>
          </w:tcPr>
          <w:p>
            <w:r/>
          </w:p>
        </w:tc>
        <w:tc>
          <w:tcPr>
            <w:tcW w:type="dxa" w:w="2379"/>
          </w:tcPr>
          <w:p>
            <w:r>
              <w:t>¥6,799.28</w:t>
            </w:r>
          </w:p>
        </w:tc>
      </w:tr>
    </w:tbl>
    <w:p>
      <w:pPr>
        <w:pStyle w:val="Heading1"/>
      </w:pPr>
      <w:r>
        <w:t>5. 微信生态与企业微信认证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3173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3173"/>
          </w:tcPr>
          <w:p>
            <w:r>
              <w:rPr>
                <w:b/>
              </w:rPr>
              <w:t>费用</w:t>
            </w:r>
          </w:p>
        </w:tc>
      </w:tr>
      <w:tr>
        <w:tc>
          <w:tcPr>
            <w:tcW w:type="dxa" w:w="3173"/>
          </w:tcPr>
          <w:p>
            <w:r>
              <w:t>微信公众号</w:t>
            </w:r>
          </w:p>
        </w:tc>
        <w:tc>
          <w:tcPr>
            <w:tcW w:type="dxa" w:w="3173"/>
          </w:tcPr>
          <w:p>
            <w:r>
              <w:t>认证注册</w:t>
            </w:r>
          </w:p>
        </w:tc>
        <w:tc>
          <w:tcPr>
            <w:tcW w:type="dxa" w:w="3173"/>
          </w:tcPr>
          <w:p>
            <w:r>
              <w:t>¥300.00</w:t>
            </w:r>
          </w:p>
        </w:tc>
      </w:tr>
      <w:tr>
        <w:tc>
          <w:tcPr>
            <w:tcW w:type="dxa" w:w="3173"/>
          </w:tcPr>
          <w:p>
            <w:r>
              <w:t>微信小程序</w:t>
            </w:r>
          </w:p>
        </w:tc>
        <w:tc>
          <w:tcPr>
            <w:tcW w:type="dxa" w:w="3173"/>
          </w:tcPr>
          <w:p>
            <w:r>
              <w:t>认证注册</w:t>
            </w:r>
          </w:p>
        </w:tc>
        <w:tc>
          <w:tcPr>
            <w:tcW w:type="dxa" w:w="3173"/>
          </w:tcPr>
          <w:p>
            <w:r>
              <w:t>¥300.00</w:t>
            </w:r>
          </w:p>
        </w:tc>
      </w:tr>
      <w:tr>
        <w:tc>
          <w:tcPr>
            <w:tcW w:type="dxa" w:w="3173"/>
          </w:tcPr>
          <w:p>
            <w:r>
              <w:t>企业微信</w:t>
            </w:r>
          </w:p>
        </w:tc>
        <w:tc>
          <w:tcPr>
            <w:tcW w:type="dxa" w:w="3173"/>
          </w:tcPr>
          <w:p>
            <w:r>
              <w:t>实名认证</w:t>
            </w:r>
          </w:p>
        </w:tc>
        <w:tc>
          <w:tcPr>
            <w:tcW w:type="dxa" w:w="3173"/>
          </w:tcPr>
          <w:p>
            <w:r>
              <w:t>¥300.00</w:t>
            </w:r>
          </w:p>
        </w:tc>
      </w:tr>
      <w:tr>
        <w:tc>
          <w:tcPr>
            <w:tcW w:type="dxa" w:w="3173"/>
          </w:tcPr>
          <w:p>
            <w:r>
              <w:t>小计</w:t>
            </w:r>
          </w:p>
        </w:tc>
        <w:tc>
          <w:tcPr>
            <w:tcW w:type="dxa" w:w="3173"/>
          </w:tcPr>
          <w:p>
            <w:r/>
          </w:p>
        </w:tc>
        <w:tc>
          <w:tcPr>
            <w:tcW w:type="dxa" w:w="3173"/>
          </w:tcPr>
          <w:p>
            <w:r>
              <w:t>¥900.00</w:t>
            </w:r>
          </w:p>
        </w:tc>
      </w:tr>
    </w:tbl>
    <w:p>
      <w:pPr/>
      <w:r>
        <w:t>说明：DeepSeek 大模型开发与调用成本属于团队内部研发 / 交付成本，不列入客户报价；如客户后续要求独立 AI 账号或专属模型资源，另行报价。</w:t>
      </w:r>
    </w:p>
    <w:p>
      <w:pPr>
        <w:pStyle w:val="Heading1"/>
      </w:pPr>
      <w:r>
        <w:t>6. 持续需求沟通与演示确认</w:t>
      </w:r>
    </w:p>
    <w:p>
      <w:pPr/>
      <w:r>
        <w:t>依据 `docs/lwq/会议纪要汇总_20260907-20260921.xlsx`，本项目已完成腾讯会议沟通与演示记录统计：共 20 场，累计 1,200 分钟（20 小时），拆分出 151 条需求项 / 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1904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904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单价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小计</w:t>
            </w:r>
          </w:p>
        </w:tc>
      </w:tr>
      <w:tr>
        <w:tc>
          <w:tcPr>
            <w:tcW w:type="dxa" w:w="1904"/>
          </w:tcPr>
          <w:p>
            <w:r>
              <w:t>腾讯会议需求沟通</w:t>
            </w:r>
          </w:p>
        </w:tc>
        <w:tc>
          <w:tcPr>
            <w:tcW w:type="dxa" w:w="1904"/>
          </w:tcPr>
          <w:p>
            <w:r>
              <w:t>需求澄清、方案对齐、进度同步</w:t>
            </w:r>
          </w:p>
        </w:tc>
        <w:tc>
          <w:tcPr>
            <w:tcW w:type="dxa" w:w="1904"/>
          </w:tcPr>
          <w:p>
            <w:r>
              <w:t>20 场 / 20 小时</w:t>
            </w:r>
          </w:p>
        </w:tc>
        <w:tc>
          <w:tcPr>
            <w:tcW w:type="dxa" w:w="1904"/>
          </w:tcPr>
          <w:p>
            <w:r>
              <w:t>待确认</w:t>
            </w:r>
          </w:p>
        </w:tc>
        <w:tc>
          <w:tcPr>
            <w:tcW w:type="dxa" w:w="1904"/>
          </w:tcPr>
          <w:p>
            <w:r>
              <w:t>待确认</w:t>
            </w:r>
          </w:p>
        </w:tc>
      </w:tr>
      <w:tr>
        <w:tc>
          <w:tcPr>
            <w:tcW w:type="dxa" w:w="1904"/>
          </w:tcPr>
          <w:p>
            <w:r>
              <w:t>功能演示与确认</w:t>
            </w:r>
          </w:p>
        </w:tc>
        <w:tc>
          <w:tcPr>
            <w:tcW w:type="dxa" w:w="1904"/>
          </w:tcPr>
          <w:p>
            <w:r>
              <w:t>版本演示、验收确认、问题复现</w:t>
            </w:r>
          </w:p>
        </w:tc>
        <w:tc>
          <w:tcPr>
            <w:tcW w:type="dxa" w:w="1904"/>
          </w:tcPr>
          <w:p>
            <w:r>
              <w:t>已含于上述会议记录</w:t>
            </w:r>
          </w:p>
        </w:tc>
        <w:tc>
          <w:tcPr>
            <w:tcW w:type="dxa" w:w="1904"/>
          </w:tcPr>
          <w:p>
            <w:r>
              <w:t>待确认</w:t>
            </w:r>
          </w:p>
        </w:tc>
        <w:tc>
          <w:tcPr>
            <w:tcW w:type="dxa" w:w="1904"/>
          </w:tcPr>
          <w:p>
            <w:r>
              <w:t>待确认</w:t>
            </w:r>
          </w:p>
        </w:tc>
      </w:tr>
      <w:tr>
        <w:tc>
          <w:tcPr>
            <w:tcW w:type="dxa" w:w="1904"/>
          </w:tcPr>
          <w:p>
            <w:r>
              <w:t>持续沟通与演示小计</w:t>
            </w:r>
          </w:p>
        </w:tc>
        <w:tc>
          <w:tcPr>
            <w:tcW w:type="dxa" w:w="1904"/>
          </w:tcPr>
          <w:p>
            <w:r>
              <w:t>具体计费方式待客户确认</w:t>
            </w:r>
          </w:p>
        </w:tc>
        <w:tc>
          <w:tcPr>
            <w:tcW w:type="dxa" w:w="1904"/>
          </w:tcPr>
          <w:p>
            <w:r/>
          </w:p>
        </w:tc>
        <w:tc>
          <w:tcPr>
            <w:tcW w:type="dxa" w:w="1904"/>
          </w:tcPr>
          <w:p>
            <w:r/>
          </w:p>
        </w:tc>
        <w:tc>
          <w:tcPr>
            <w:tcW w:type="dxa" w:w="1904"/>
          </w:tcPr>
          <w:p>
            <w:r>
              <w:t>待确认</w:t>
            </w:r>
          </w:p>
        </w:tc>
      </w:tr>
    </w:tbl>
    <w:p>
      <w:pPr/>
      <w:r>
        <w:t>建议方式：以腾讯会议远程会议为主，每轮先演示功能，再确认需求与验收结论；可按次计费，也可打包为固定服务费，或纳入工程师人日范围。</w:t>
      </w:r>
    </w:p>
    <w:p>
      <w:pPr>
        <w:pStyle w:val="Heading1"/>
      </w:pPr>
      <w:r>
        <w:t>7. 费用汇总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费用项</w:t>
            </w:r>
          </w:p>
        </w:tc>
        <w:tc>
          <w:tcPr>
            <w:tcW w:type="dxa" w:w="4759"/>
          </w:tcPr>
          <w:p>
            <w:r>
              <w:rPr>
                <w:b/>
              </w:rPr>
              <w:t>小计</w:t>
            </w:r>
          </w:p>
        </w:tc>
      </w:tr>
      <w:tr>
        <w:tc>
          <w:tcPr>
            <w:tcW w:type="dxa" w:w="4759"/>
          </w:tcPr>
          <w:p>
            <w:r>
              <w:t>软件开发实施费</w:t>
            </w:r>
          </w:p>
        </w:tc>
        <w:tc>
          <w:tcPr>
            <w:tcW w:type="dxa" w:w="4759"/>
          </w:tcPr>
          <w:p>
            <w:r>
              <w:t>¥90,000.00</w:t>
            </w:r>
          </w:p>
        </w:tc>
      </w:tr>
      <w:tr>
        <w:tc>
          <w:tcPr>
            <w:tcW w:type="dxa" w:w="4759"/>
          </w:tcPr>
          <w:p>
            <w:r>
              <w:t>云资源与域名（含预留测试服务器）</w:t>
            </w:r>
          </w:p>
        </w:tc>
        <w:tc>
          <w:tcPr>
            <w:tcW w:type="dxa" w:w="4759"/>
          </w:tcPr>
          <w:p>
            <w:r>
              <w:t>¥6,799.28</w:t>
            </w:r>
          </w:p>
        </w:tc>
      </w:tr>
      <w:tr>
        <w:tc>
          <w:tcPr>
            <w:tcW w:type="dxa" w:w="4759"/>
          </w:tcPr>
          <w:p>
            <w:r>
              <w:t>微信生态与企业微信认证</w:t>
            </w:r>
          </w:p>
        </w:tc>
        <w:tc>
          <w:tcPr>
            <w:tcW w:type="dxa" w:w="4759"/>
          </w:tcPr>
          <w:p>
            <w:r>
              <w:t>¥900.00</w:t>
            </w:r>
          </w:p>
        </w:tc>
      </w:tr>
      <w:tr>
        <w:tc>
          <w:tcPr>
            <w:tcW w:type="dxa" w:w="4759"/>
          </w:tcPr>
          <w:p>
            <w:r>
              <w:t>持续需求沟通与演示确认</w:t>
            </w:r>
          </w:p>
        </w:tc>
        <w:tc>
          <w:tcPr>
            <w:tcW w:type="dxa" w:w="4759"/>
          </w:tcPr>
          <w:p>
            <w:r>
              <w:t>待确认</w:t>
            </w:r>
          </w:p>
        </w:tc>
      </w:tr>
      <w:tr>
        <w:tc>
          <w:tcPr>
            <w:tcW w:type="dxa" w:w="4759"/>
          </w:tcPr>
          <w:p>
            <w:r>
              <w:t>已确认小计（不含会议沟通费）</w:t>
            </w:r>
          </w:p>
        </w:tc>
        <w:tc>
          <w:tcPr>
            <w:tcW w:type="dxa" w:w="4759"/>
          </w:tcPr>
          <w:p>
            <w:r>
              <w:t>¥97,699.28</w:t>
            </w:r>
          </w:p>
        </w:tc>
      </w:tr>
      <w:tr>
        <w:tc>
          <w:tcPr>
            <w:tcW w:type="dxa" w:w="4759"/>
          </w:tcPr>
          <w:p>
            <w:r>
              <w:t>合计</w:t>
            </w:r>
          </w:p>
        </w:tc>
        <w:tc>
          <w:tcPr>
            <w:tcW w:type="dxa" w:w="4759"/>
          </w:tcPr>
          <w:p>
            <w:r>
              <w:t>¥97,699.28 + 待确认会议沟通费</w:t>
            </w:r>
          </w:p>
        </w:tc>
      </w:tr>
    </w:tbl>
    <w:p>
      <w:pPr>
        <w:pStyle w:val="Heading1"/>
      </w:pPr>
      <w:r>
        <w:t>8. 付款方式建议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3173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3173"/>
          </w:tcPr>
          <w:p>
            <w:r>
              <w:rPr>
                <w:b/>
              </w:rPr>
              <w:t>建议比例</w:t>
            </w:r>
          </w:p>
        </w:tc>
      </w:tr>
      <w:tr>
        <w:tc>
          <w:tcPr>
            <w:tcW w:type="dxa" w:w="3173"/>
          </w:tcPr>
          <w:p>
            <w:r>
              <w:t>首付款</w:t>
            </w:r>
          </w:p>
        </w:tc>
        <w:tc>
          <w:tcPr>
            <w:tcW w:type="dxa" w:w="3173"/>
          </w:tcPr>
          <w:p>
            <w:r>
              <w:t>合同签订或项目启动</w:t>
            </w:r>
          </w:p>
        </w:tc>
        <w:tc>
          <w:tcPr>
            <w:tcW w:type="dxa" w:w="3173"/>
          </w:tcPr>
          <w:p>
            <w:r>
              <w:t>30%</w:t>
            </w:r>
          </w:p>
        </w:tc>
      </w:tr>
      <w:tr>
        <w:tc>
          <w:tcPr>
            <w:tcW w:type="dxa" w:w="3173"/>
          </w:tcPr>
          <w:p>
            <w:r>
              <w:t>阶段款</w:t>
            </w:r>
          </w:p>
        </w:tc>
        <w:tc>
          <w:tcPr>
            <w:tcW w:type="dxa" w:w="3173"/>
          </w:tcPr>
          <w:p>
            <w:r>
              <w:t>核心功能上线试运行</w:t>
            </w:r>
          </w:p>
        </w:tc>
        <w:tc>
          <w:tcPr>
            <w:tcW w:type="dxa" w:w="3173"/>
          </w:tcPr>
          <w:p>
            <w:r>
              <w:t>40%</w:t>
            </w:r>
          </w:p>
        </w:tc>
      </w:tr>
      <w:tr>
        <w:tc>
          <w:tcPr>
            <w:tcW w:type="dxa" w:w="3173"/>
          </w:tcPr>
          <w:p>
            <w:r>
              <w:t>验收款</w:t>
            </w:r>
          </w:p>
        </w:tc>
        <w:tc>
          <w:tcPr>
            <w:tcW w:type="dxa" w:w="3173"/>
          </w:tcPr>
          <w:p>
            <w:r>
              <w:t>正式验收通过</w:t>
            </w:r>
          </w:p>
        </w:tc>
        <w:tc>
          <w:tcPr>
            <w:tcW w:type="dxa" w:w="3173"/>
          </w:tcPr>
          <w:p>
            <w:r>
              <w:t>30%</w:t>
            </w:r>
          </w:p>
        </w:tc>
      </w:tr>
    </w:tbl>
    <w:p>
      <w:pPr/>
      <w:r>
        <w:t>最终付款节点与比例以合同为准。</w:t>
      </w:r>
    </w:p>
    <w:p>
      <w:pPr>
        <w:pStyle w:val="Heading1"/>
      </w:pPr>
      <w:r>
        <w:t>9. 假设与排除项</w:t>
      </w:r>
    </w:p>
    <w:p>
      <w:pPr>
        <w:pStyle w:val="ListBullet"/>
      </w:pPr>
      <w:r>
        <w:t>报价是否含税、发票类型与税率待确认。</w:t>
      </w:r>
    </w:p>
    <w:p>
      <w:pPr>
        <w:pStyle w:val="ListBullet"/>
      </w:pPr>
      <w:r>
        <w:t>阿里云、域名、微信生态及企业微信费用以实际账单为准，客户可自行采购或委托代付。</w:t>
      </w:r>
    </w:p>
    <w:p>
      <w:pPr>
        <w:pStyle w:val="ListBullet"/>
      </w:pPr>
      <w:r>
        <w:t>预留测试服务器 4C8G 预计 ¥3,500，最终以阿里云实际报价为准。</w:t>
      </w:r>
    </w:p>
    <w:p>
      <w:pPr>
        <w:pStyle w:val="ListBullet"/>
      </w:pPr>
      <w:r>
        <w:t>DeepSeek 大模型开发与调用成本属于内部研发成本，不列入客户报价。</w:t>
      </w:r>
    </w:p>
    <w:p>
      <w:pPr>
        <w:pStyle w:val="ListBullet"/>
      </w:pPr>
      <w:r>
        <w:t>服务器规格需根据真实用户数、数据量和并发情况最终确定。</w:t>
      </w:r>
    </w:p>
    <w:p>
      <w:pPr>
        <w:pStyle w:val="ListBullet"/>
      </w:pPr>
      <w:r>
        <w:t>实施期间如需驻场、差旅、第三方软件授权等，另行报价。</w:t>
      </w:r>
    </w:p>
    <w:p>
      <w:pPr>
        <w:pStyle w:val="ListBullet"/>
      </w:pPr>
      <w:r>
        <w:t>已交付工作量依据现有系统迭代记录，最终人日以双方确认的需求范围和验收标准为准。</w:t>
      </w:r>
    </w:p>
    <w:p>
      <w:pPr>
        <w:pStyle w:val="Heading1"/>
      </w:pPr>
      <w:r>
        <w:t>10. 待客户提供资料</w:t>
      </w:r>
    </w:p>
    <w:p>
      <w:pPr>
        <w:pStyle w:val="ListNumber"/>
      </w:pPr>
      <w:r>
        <w:t>腾讯会议需求沟通与演示的计费方式：按次、按小时、打包服务费，或并入工程师人日。</w:t>
      </w:r>
    </w:p>
    <w:p>
      <w:pPr>
        <w:pStyle w:val="ListNumber"/>
      </w:pPr>
      <w:r>
        <w:t>如需要，补充阿里云 ECS、RDS MySQL、域名、安全服务 3,299.28 元的单项拆分。</w:t>
      </w:r>
    </w:p>
    <w:p>
      <w:pPr>
        <w:pStyle w:val="ListNumber"/>
      </w:pPr>
      <w:r>
        <w:t>预留测试服务器 4C8G 的最终规格、期限与实际阿里云报价。</w:t>
      </w:r>
    </w:p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5B6B64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Calibri" w:hAnsi="Calibri" w:eastAsia="微软雅黑"/>
      <w:color w:val="2028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3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4E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0282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微软雅黑"/>
      <w:b/>
      <w:color w:val="1F4E3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SLD-水果市场销售分析 功能说明书</dc:title>
  <dc:subject>水果市场销售分析系统功能说明书</dc:subject>
  <dc:creator>Codex</dc:creator>
  <cp:keywords>水果, 销售分析, A/B/C, 结算单, 系列对比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