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 w:eastAsia="微软雅黑"/>
          <w:b/>
          <w:color w:val="1F4E35"/>
          <w:sz w:val="52"/>
        </w:rPr>
        <w:t>SLD-水果市场销售分析</w:t>
      </w:r>
    </w:p>
    <w:p>
      <w:pPr>
        <w:spacing w:after="480"/>
        <w:jc w:val="center"/>
      </w:pPr>
      <w:r>
        <w:rPr>
          <w:rFonts w:ascii="Calibri" w:hAnsi="Calibri" w:eastAsia="微软雅黑"/>
          <w:b/>
          <w:color w:val="1F4E35"/>
          <w:sz w:val="44"/>
        </w:rPr>
        <w:t>功能说明书</w:t>
      </w:r>
    </w:p>
    <w:p>
      <w:pPr>
        <w:spacing w:after="120"/>
        <w:jc w:val="center"/>
      </w:pPr>
      <w:r>
        <w:rPr>
          <w:rFonts w:ascii="Calibri" w:hAnsi="Calibri" w:eastAsia="微软雅黑"/>
          <w:color w:val="5B6B64"/>
          <w:sz w:val="21"/>
        </w:rPr>
        <w:t>文档版本：V1.5  |  编制日期：2026-09-13  |  适用系统：当前仓库 dev 分支</w:t>
      </w:r>
    </w:p>
    <w:p>
      <w:pPr>
        <w:jc w:val="center"/>
      </w:pPr>
      <w:r>
        <w:rPr>
          <w:rFonts w:ascii="Calibri" w:hAnsi="Calibri" w:eastAsia="微软雅黑"/>
          <w:color w:val="5B6B64"/>
          <w:sz w:val="21"/>
        </w:rPr>
        <w:t>本文档基于现有已实现功能整理，用于使用、验收、培训与后续迭代。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40"/>
        <w:ind w:left="0"/>
      </w:pPr>
      <w:r>
        <w:rPr>
          <w:rFonts w:ascii="Calibri" w:hAnsi="Calibri" w:eastAsia="微软雅黑"/>
          <w:b/>
          <w:sz w:val="21"/>
        </w:rPr>
        <w:t>1. 文档说明</w:t>
      </w:r>
    </w:p>
    <w:p>
      <w:pPr>
        <w:spacing w:after="40"/>
        <w:ind w:left="0"/>
      </w:pPr>
      <w:r>
        <w:rPr>
          <w:rFonts w:ascii="Calibri" w:hAnsi="Calibri" w:eastAsia="微软雅黑"/>
          <w:b/>
          <w:sz w:val="21"/>
        </w:rPr>
        <w:t>2. 产品概述</w:t>
      </w:r>
    </w:p>
    <w:p>
      <w:pPr>
        <w:spacing w:after="40"/>
        <w:ind w:left="0"/>
      </w:pPr>
      <w:r>
        <w:rPr>
          <w:rFonts w:ascii="Calibri" w:hAnsi="Calibri" w:eastAsia="微软雅黑"/>
          <w:b/>
          <w:sz w:val="21"/>
        </w:rPr>
        <w:t>3. 用户与登录</w:t>
      </w:r>
    </w:p>
    <w:p>
      <w:pPr>
        <w:spacing w:after="40"/>
        <w:ind w:left="0"/>
      </w:pPr>
      <w:r>
        <w:rPr>
          <w:rFonts w:ascii="Calibri" w:hAnsi="Calibri" w:eastAsia="微软雅黑"/>
          <w:b/>
          <w:sz w:val="21"/>
        </w:rPr>
        <w:t>4. 工作台与导航</w:t>
      </w:r>
    </w:p>
    <w:p>
      <w:pPr>
        <w:spacing w:after="40"/>
        <w:ind w:left="0"/>
      </w:pPr>
      <w:r>
        <w:rPr>
          <w:rFonts w:ascii="Calibri" w:hAnsi="Calibri" w:eastAsia="微软雅黑"/>
          <w:b/>
          <w:sz w:val="21"/>
        </w:rPr>
        <w:t>5. 数据导入</w:t>
      </w:r>
    </w:p>
    <w:p>
      <w:pPr>
        <w:spacing w:after="40"/>
        <w:ind w:left="0"/>
      </w:pPr>
      <w:r>
        <w:rPr>
          <w:rFonts w:ascii="Calibri" w:hAnsi="Calibri" w:eastAsia="微软雅黑"/>
          <w:b/>
          <w:sz w:val="21"/>
        </w:rPr>
        <w:t>6. 销售总览</w:t>
      </w:r>
    </w:p>
    <w:p>
      <w:pPr>
        <w:spacing w:after="40"/>
        <w:ind w:left="0"/>
      </w:pPr>
      <w:r>
        <w:rPr>
          <w:rFonts w:ascii="Calibri" w:hAnsi="Calibri" w:eastAsia="微软雅黑"/>
          <w:b/>
          <w:sz w:val="21"/>
        </w:rPr>
        <w:t>7. 数据明细</w:t>
      </w:r>
    </w:p>
    <w:p>
      <w:pPr>
        <w:spacing w:after="40"/>
        <w:ind w:left="0"/>
      </w:pPr>
      <w:r>
        <w:rPr>
          <w:rFonts w:ascii="Calibri" w:hAnsi="Calibri" w:eastAsia="微软雅黑"/>
          <w:b/>
          <w:sz w:val="21"/>
        </w:rPr>
        <w:t>8. 结算单详情</w:t>
      </w:r>
    </w:p>
    <w:p>
      <w:pPr>
        <w:spacing w:after="40"/>
        <w:ind w:left="0"/>
      </w:pPr>
      <w:r>
        <w:rPr>
          <w:rFonts w:ascii="Calibri" w:hAnsi="Calibri" w:eastAsia="微软雅黑"/>
          <w:b/>
          <w:sz w:val="21"/>
        </w:rPr>
        <w:t>9. 结算单对比</w:t>
      </w:r>
    </w:p>
    <w:p>
      <w:pPr>
        <w:spacing w:after="40"/>
        <w:ind w:left="0"/>
      </w:pPr>
      <w:r>
        <w:rPr>
          <w:rFonts w:ascii="Calibri" w:hAnsi="Calibri" w:eastAsia="微软雅黑"/>
          <w:b/>
          <w:sz w:val="21"/>
        </w:rPr>
        <w:t>10. 系列对比</w:t>
      </w:r>
    </w:p>
    <w:p>
      <w:pPr>
        <w:spacing w:after="40"/>
        <w:ind w:left="0"/>
      </w:pPr>
      <w:r>
        <w:rPr>
          <w:rFonts w:ascii="Calibri" w:hAnsi="Calibri" w:eastAsia="微软雅黑"/>
          <w:b/>
          <w:sz w:val="21"/>
        </w:rPr>
        <w:t>11. AI 分析结论</w:t>
      </w:r>
    </w:p>
    <w:p>
      <w:pPr>
        <w:spacing w:after="40"/>
        <w:ind w:left="0"/>
      </w:pPr>
      <w:r>
        <w:rPr>
          <w:rFonts w:ascii="Calibri" w:hAnsi="Calibri" w:eastAsia="微软雅黑"/>
          <w:b/>
          <w:sz w:val="21"/>
        </w:rPr>
        <w:t>12. 数据导出与追溯</w:t>
      </w:r>
    </w:p>
    <w:p>
      <w:pPr>
        <w:spacing w:after="40"/>
        <w:ind w:left="0"/>
      </w:pPr>
      <w:r>
        <w:rPr>
          <w:rFonts w:ascii="Calibri" w:hAnsi="Calibri" w:eastAsia="微软雅黑"/>
          <w:b/>
          <w:sz w:val="21"/>
        </w:rPr>
        <w:t>13. 指标口径与业务规则</w:t>
      </w:r>
    </w:p>
    <w:p>
      <w:pPr>
        <w:spacing w:after="40"/>
        <w:ind w:left="0"/>
      </w:pPr>
      <w:r>
        <w:rPr>
          <w:rFonts w:ascii="Calibri" w:hAnsi="Calibri" w:eastAsia="微软雅黑"/>
          <w:b/>
          <w:sz w:val="21"/>
        </w:rPr>
        <w:t>14. 安全与权限</w:t>
      </w:r>
    </w:p>
    <w:p>
      <w:pPr>
        <w:spacing w:after="40"/>
        <w:ind w:left="0"/>
      </w:pPr>
      <w:r>
        <w:rPr>
          <w:rFonts w:ascii="Calibri" w:hAnsi="Calibri" w:eastAsia="微软雅黑"/>
          <w:b/>
          <w:sz w:val="21"/>
        </w:rPr>
        <w:t>15. 非功能特性</w:t>
      </w:r>
    </w:p>
    <w:p>
      <w:pPr>
        <w:spacing w:after="40"/>
        <w:ind w:left="0"/>
      </w:pPr>
      <w:r>
        <w:rPr>
          <w:rFonts w:ascii="Calibri" w:hAnsi="Calibri" w:eastAsia="微软雅黑"/>
          <w:b/>
          <w:sz w:val="21"/>
        </w:rPr>
        <w:t>16. 已知限制与后续计划</w:t>
      </w:r>
    </w:p>
    <w:p>
      <w:pPr>
        <w:spacing w:after="40"/>
        <w:ind w:left="0"/>
      </w:pPr>
      <w:r>
        <w:rPr>
          <w:rFonts w:ascii="Calibri" w:hAnsi="Calibri" w:eastAsia="微软雅黑"/>
          <w:b/>
          <w:sz w:val="21"/>
        </w:rPr>
        <w:t>17. 附录：功能与接口对照</w:t>
      </w:r>
    </w:p>
    <w:p>
      <w:r>
        <w:br w:type="page"/>
      </w:r>
    </w:p>
    <w:p>
      <w:pPr>
        <w:pStyle w:val="Heading1"/>
      </w:pPr>
      <w:r>
        <w:t>1. 文档说明</w:t>
      </w:r>
    </w:p>
    <w:p>
      <w:pPr>
        <w:pStyle w:val="Heading2"/>
      </w:pPr>
      <w:r>
        <w:t>1.1 文档目的</w:t>
      </w:r>
    </w:p>
    <w:p>
      <w:pPr>
        <w:spacing w:after="120"/>
      </w:pPr>
      <w:r>
        <w:rPr>
          <w:rFonts w:ascii="Calibri" w:hAnsi="Calibri" w:eastAsia="微软雅黑"/>
          <w:b w:val="0"/>
          <w:i w:val="0"/>
        </w:rPr>
        <w:t>本说明书描述 SLD-水果市场销售分析的现有功能、操作路径、业务规则和指标口径，帮助使用者快速理解系统能做什么、如何操作，并为验收和后续迭代提供统一依据。</w:t>
      </w:r>
    </w:p>
    <w:p>
      <w:pPr>
        <w:pStyle w:val="Heading2"/>
      </w:pPr>
      <w:r>
        <w:t>1.2 目标读者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使用者：果农、业务人员、管理人员，用于日常查看销售数据。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验收人员：用于按功能点逐项核对系统是否满足需求。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开发与维护人员：用于理解功能边界、指标口径和页面交互。</w:t>
      </w:r>
    </w:p>
    <w:p>
      <w:pPr>
        <w:pStyle w:val="Heading2"/>
      </w:pPr>
      <w:r>
        <w:t>1.3 术语说明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814"/>
            <w:shd w:val="clear" w:fill="1F4E35"/>
          </w:tcPr>
          <w:p>
            <w:r>
              <w:rPr>
                <w:rFonts w:ascii="Calibri" w:hAnsi="Calibri" w:eastAsia="微软雅黑"/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7087"/>
            <w:shd w:val="clear" w:fill="1F4E35"/>
          </w:tcPr>
          <w:p>
            <w:r>
              <w:rPr>
                <w:rFonts w:ascii="Calibri" w:hAnsi="Calibri" w:eastAsia="微软雅黑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1814"/>
          </w:tcPr>
          <w:p>
            <w:r>
              <w:rPr>
                <w:rFonts w:ascii="Calibri" w:hAnsi="Calibri" w:eastAsia="微软雅黑"/>
                <w:sz w:val="19"/>
              </w:rPr>
              <w:t>结算单</w:t>
            </w:r>
          </w:p>
        </w:tc>
        <w:tc>
          <w:tcPr>
            <w:tcW w:type="dxa" w:w="7087"/>
          </w:tcPr>
          <w:p>
            <w:r>
              <w:rPr>
                <w:rFonts w:ascii="Calibri" w:hAnsi="Calibri" w:eastAsia="微软雅黑"/>
                <w:sz w:val="19"/>
              </w:rPr>
              <w:t>以商号为唯一业务键的一批销售数据；系统中通常对应一张导入的结算单文件。</w:t>
            </w:r>
          </w:p>
        </w:tc>
      </w:tr>
      <w:tr>
        <w:tc>
          <w:tcPr>
            <w:tcW w:type="dxa" w:w="1814"/>
          </w:tcPr>
          <w:p>
            <w:r>
              <w:rPr>
                <w:rFonts w:ascii="Calibri" w:hAnsi="Calibri" w:eastAsia="微软雅黑"/>
                <w:sz w:val="19"/>
              </w:rPr>
              <w:t>商号</w:t>
            </w:r>
          </w:p>
        </w:tc>
        <w:tc>
          <w:tcPr>
            <w:tcW w:type="dxa" w:w="7087"/>
          </w:tcPr>
          <w:p>
            <w:r>
              <w:rPr>
                <w:rFonts w:ascii="Calibri" w:hAnsi="Calibri" w:eastAsia="微软雅黑"/>
                <w:sz w:val="19"/>
              </w:rPr>
              <w:t>我司商业合同唯一单据号，例如 637、624。展示时可能去除前缀「单」。</w:t>
            </w:r>
          </w:p>
        </w:tc>
      </w:tr>
      <w:tr>
        <w:tc>
          <w:tcPr>
            <w:tcW w:type="dxa" w:w="1814"/>
          </w:tcPr>
          <w:p>
            <w:r>
              <w:rPr>
                <w:rFonts w:ascii="Calibri" w:hAnsi="Calibri" w:eastAsia="微软雅黑"/>
                <w:sz w:val="19"/>
              </w:rPr>
              <w:t>单号</w:t>
            </w:r>
          </w:p>
        </w:tc>
        <w:tc>
          <w:tcPr>
            <w:tcW w:type="dxa" w:w="7087"/>
          </w:tcPr>
          <w:p>
            <w:r>
              <w:rPr>
                <w:rFonts w:ascii="Calibri" w:hAnsi="Calibri" w:eastAsia="微软雅黑"/>
                <w:sz w:val="19"/>
              </w:rPr>
              <w:t>客户侧单据号，例如 宝贝-001。</w:t>
            </w:r>
          </w:p>
        </w:tc>
      </w:tr>
      <w:tr>
        <w:tc>
          <w:tcPr>
            <w:tcW w:type="dxa" w:w="1814"/>
          </w:tcPr>
          <w:p>
            <w:r>
              <w:rPr>
                <w:rFonts w:ascii="Calibri" w:hAnsi="Calibri" w:eastAsia="微软雅黑"/>
                <w:sz w:val="19"/>
              </w:rPr>
              <w:t>柜号</w:t>
            </w:r>
          </w:p>
        </w:tc>
        <w:tc>
          <w:tcPr>
            <w:tcW w:type="dxa" w:w="7087"/>
          </w:tcPr>
          <w:p>
            <w:r>
              <w:rPr>
                <w:rFonts w:ascii="Calibri" w:hAnsi="Calibri" w:eastAsia="微软雅黑"/>
                <w:sz w:val="19"/>
              </w:rPr>
              <w:t>车柜标识，允许为空且可重复。</w:t>
            </w:r>
          </w:p>
        </w:tc>
      </w:tr>
      <w:tr>
        <w:tc>
          <w:tcPr>
            <w:tcW w:type="dxa" w:w="1814"/>
          </w:tcPr>
          <w:p>
            <w:r>
              <w:rPr>
                <w:rFonts w:ascii="Calibri" w:hAnsi="Calibri" w:eastAsia="微软雅黑"/>
                <w:sz w:val="19"/>
              </w:rPr>
              <w:t>等级</w:t>
            </w:r>
          </w:p>
        </w:tc>
        <w:tc>
          <w:tcPr>
            <w:tcW w:type="dxa" w:w="7087"/>
          </w:tcPr>
          <w:p>
            <w:r>
              <w:rPr>
                <w:rFonts w:ascii="Calibri" w:hAnsi="Calibri" w:eastAsia="微软雅黑"/>
                <w:sz w:val="19"/>
              </w:rPr>
              <w:t>统一为 A、B、C 三级；原始 BC 等级归入 C。</w:t>
            </w:r>
          </w:p>
        </w:tc>
      </w:tr>
      <w:tr>
        <w:tc>
          <w:tcPr>
            <w:tcW w:type="dxa" w:w="1814"/>
          </w:tcPr>
          <w:p>
            <w:r>
              <w:rPr>
                <w:rFonts w:ascii="Calibri" w:hAnsi="Calibri" w:eastAsia="微软雅黑"/>
                <w:sz w:val="19"/>
              </w:rPr>
              <w:t>平均每千克售价</w:t>
            </w:r>
          </w:p>
        </w:tc>
        <w:tc>
          <w:tcPr>
            <w:tcW w:type="dxa" w:w="7087"/>
          </w:tcPr>
          <w:p>
            <w:r>
              <w:rPr>
                <w:rFonts w:ascii="Calibri" w:hAnsi="Calibri" w:eastAsia="微软雅黑"/>
                <w:sz w:val="19"/>
              </w:rPr>
              <w:t>筛选范围内销售金额 ÷ 销售数量（千克），单位：元/千克。</w:t>
            </w:r>
          </w:p>
        </w:tc>
      </w:tr>
      <w:tr>
        <w:tc>
          <w:tcPr>
            <w:tcW w:type="dxa" w:w="1814"/>
          </w:tcPr>
          <w:p>
            <w:r>
              <w:rPr>
                <w:rFonts w:ascii="Calibri" w:hAnsi="Calibri" w:eastAsia="微软雅黑"/>
                <w:sz w:val="19"/>
              </w:rPr>
              <w:t>到达日期</w:t>
            </w:r>
          </w:p>
        </w:tc>
        <w:tc>
          <w:tcPr>
            <w:tcW w:type="dxa" w:w="7087"/>
          </w:tcPr>
          <w:p>
            <w:r>
              <w:rPr>
                <w:rFonts w:ascii="Calibri" w:hAnsi="Calibri" w:eastAsia="微软雅黑"/>
                <w:sz w:val="19"/>
              </w:rPr>
              <w:t>界面筛选使用的日期口径，即销售日期。</w:t>
            </w:r>
          </w:p>
        </w:tc>
      </w:tr>
    </w:tbl>
    <w:p>
      <w:pPr>
        <w:pStyle w:val="Heading1"/>
      </w:pPr>
      <w:r>
        <w:t>2. 产品概述</w:t>
      </w:r>
    </w:p>
    <w:p>
      <w:pPr>
        <w:spacing w:after="120"/>
      </w:pPr>
      <w:r>
        <w:rPr>
          <w:rFonts w:ascii="Calibri" w:hAnsi="Calibri" w:eastAsia="微软雅黑"/>
          <w:b w:val="0"/>
          <w:i w:val="0"/>
        </w:rPr>
        <w:t>SLD-水果市场销售分析是面向果农的水果销售分析工具。系统围绕 A/B/C 三级的销量、销售额、平均每千克售价和数量占比，提供「导入 → 看板 → 单柜诊断 → 货柜对比」的完整链路；当前实现以结算单和系列为分析主体。</w:t>
      </w:r>
    </w:p>
    <w:p>
      <w:pPr>
        <w:pStyle w:val="Heading2"/>
      </w:pPr>
      <w:r>
        <w:t>2.1 核心能力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多文件导入：支持 CSV、XLSX 结算单，自动解析并写入销售明细、结算摘要和导入问题。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销售看板：按日期和商号查看总销量、总销售额、平均每千克售价及 A/B/C 等级结构。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单与对比：查看每一张结算单的明细、排名、异常提示和与同期其他结算单的对比。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系列对比：按结算单勾选组合，自动识别单号系列，输出 A/B/C 独立指标、价差、图表和 AI 解读。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等级细分：将原始等级写法拆成大等级、号别和品质标记，形成价格阶梯。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导出与追溯：导出总览 CSV、结算单 XLSX、导入问题 CSV，并追溯销售明细来源文件。</w:t>
      </w:r>
    </w:p>
    <w:p>
      <w:pPr>
        <w:pStyle w:val="Heading2"/>
      </w:pPr>
      <w:r>
        <w:t>2.2 使用链路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注册或登录系统。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在「数据导入」上传一张或多张结算单文件。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在「销售总览」查看整体经营情况。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在「数据明细」和「结算单详情」核对每一张结算单。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在「结算单对比」和「系列对比」进行横向分析。</w:t>
      </w:r>
    </w:p>
    <w:p>
      <w:pPr>
        <w:pStyle w:val="ListNumber"/>
        <w:spacing w:after="40"/>
      </w:pPr>
      <w:r>
        <w:rPr>
          <w:rFonts w:ascii="Calibri" w:hAnsi="Calibri" w:eastAsia="微软雅黑"/>
        </w:rPr>
        <w:t>需要留存或上报时，使用导出功能生成文件。</w:t>
      </w:r>
    </w:p>
    <w:p>
      <w:pPr>
        <w:pStyle w:val="Heading1"/>
      </w:pPr>
      <w:r>
        <w:t>3. 用户与登录</w:t>
      </w:r>
    </w:p>
    <w:p>
      <w:pPr>
        <w:pStyle w:val="Heading2"/>
      </w:pPr>
      <w:r>
        <w:t>3.1 注册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用户以「用户名 + 密码」注册，用户名最大 80 个字符，系统按忽略大小写去重。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密码至少 8 位，前端进行必填、长度和两次输入一致性校验。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注册成功后自动创建登录会话，并跳转到原目标页面。</w:t>
      </w:r>
    </w:p>
    <w:p>
      <w:pPr>
        <w:pStyle w:val="Heading2"/>
      </w:pPr>
      <w:r>
        <w:t>3.2 登录与免登录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登录使用用户名和密码；用户名匹配忽略大小写。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默认登录有效期 7 天。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勾选「30 天内免登录」后，服务端会话与浏览器 Cookie 均延长至 30 天。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登录失败统一提示「用户名或密码错误」，避免泄露账号是否存在。</w:t>
      </w:r>
    </w:p>
    <w:p>
      <w:pPr>
        <w:pStyle w:val="Heading2"/>
      </w:pPr>
      <w:r>
        <w:t>3.3 退出与鉴权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业务页面均要求登录；未登录访问时跳转登录页，并携带 redirect 返回地址。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退出登录会撤销服务端会话并删除 HttpOnly Cookie。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登录、注册页面对已登录用户自动跳转业务首页，避免重复登录。</w:t>
      </w:r>
    </w:p>
    <w:p>
      <w:pPr>
        <w:pStyle w:val="Heading1"/>
      </w:pPr>
      <w:r>
        <w:t>4. 工作台与导航</w:t>
      </w:r>
    </w:p>
    <w:p>
      <w:pPr>
        <w:pStyle w:val="Heading2"/>
      </w:pPr>
      <w:r>
        <w:t>4.1 主导航</w:t>
      </w:r>
    </w:p>
    <w:p>
      <w:pPr>
        <w:spacing w:after="120"/>
      </w:pPr>
      <w:r>
        <w:rPr>
          <w:rFonts w:ascii="Calibri" w:hAnsi="Calibri" w:eastAsia="微软雅黑"/>
          <w:b w:val="0"/>
          <w:i w:val="0"/>
        </w:rPr>
        <w:t>面向果农的主导航收敛为三个入口：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卖得怎么样：对应「销售总览」。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每一单：对应「数据明细」。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数据导入：对应「数据导入」。</w:t>
      </w:r>
    </w:p>
    <w:p>
      <w:pPr>
        <w:spacing w:after="120"/>
      </w:pPr>
      <w:r>
        <w:rPr>
          <w:rFonts w:ascii="Calibri" w:hAnsi="Calibri" w:eastAsia="微软雅黑"/>
          <w:b w:val="0"/>
          <w:i w:val="0"/>
        </w:rPr>
        <w:t>其余功能收进「更多」：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结算单详情、结算单对比、系列对比。</w:t>
      </w:r>
    </w:p>
    <w:p>
      <w:pPr>
        <w:pStyle w:val="Heading2"/>
      </w:pPr>
      <w:r>
        <w:t>4.2 工作台外壳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顶部 header 显示品牌标识、当前页面、本地日期/星期/时分秒、当前用户名和退出按钮；手机端只显示时分秒。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桌面端左侧导航可收起为图标栏，状态保存在 localStorage。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页签栏记录本次会话打开过的页面，首页固定不可关闭；其余页签可单个关闭或「关闭其他」。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页签状态保存在 sessionStorage，刷新浏览器后仍可恢复。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业务页面向下滚动后显示「回顶部」悬浮按钮；手机端按钮自动抬到底部导航上方。</w:t>
      </w:r>
    </w:p>
    <w:p>
      <w:pPr>
        <w:pStyle w:val="Heading2"/>
      </w:pPr>
      <w:r>
        <w:t>4.3 响应式与字号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桌面端全局字号随视口宽度在 15px–17px 之间平滑缩放。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移动端固定 17px，避免固定 zoom 造成横向溢出。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手机端隐藏左侧导航，使用顶部 header + 底部大按钮导航；关键表格改为纵向卡片，复杂模块默认收起。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字号偏好可通过外壳控件调整，并保存在本地。</w:t>
      </w:r>
    </w:p>
    <w:p>
      <w:pPr>
        <w:pStyle w:val="Heading1"/>
      </w:pPr>
      <w:r>
        <w:t>5. 数据导入</w:t>
      </w:r>
    </w:p>
    <w:p>
      <w:pPr>
        <w:pStyle w:val="Heading2"/>
      </w:pPr>
      <w:r>
        <w:t>5.1 支持的文件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支持 .csv 和 .xlsx，可一次上传多个文件。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单个文件最大 20 MiB；不支持的文件格式会被前端忽略或由后端拒绝。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支持点击选择文件和拖拽文件到上传区域。</w:t>
      </w:r>
    </w:p>
    <w:p>
      <w:pPr>
        <w:pStyle w:val="Heading2"/>
      </w:pPr>
      <w:r>
        <w:t>5.2 解析规则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Excel 从表头上方读取「商号 / 单号 / 柜号 / 转运车号」；CSV 从同名列读取。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通用表头支持：商号、单号、柜号、销售日期、品种/规格、等级、数量、单价、金额。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兼容元数据位于表头上方、日期合并或仅首行填写、等级写在品种规格中的版式。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等级映射：A/A6 → A，B/B6 → B，C/C6/BC/BC6 → C。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缺字段或未知等级的行不写入销售事实；其他有效行继续导入，并生成问题明细。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商号缺失的文件会被拒绝。</w:t>
      </w:r>
    </w:p>
    <w:p>
      <w:pPr>
        <w:pStyle w:val="Heading2"/>
      </w:pPr>
      <w:r>
        <w:t>5.3 单号与商号展示规则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单号双写：原始单号与适配后单号同时保存。适配规则将「宝贝003 → 宝贝-003」「宝贝L004 → 宝贝-004」，页面、导出和导入记录统一展示适配后写法。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商号双写：原始商号与适配后商号同时保存。适配规则去除开头重复「单」前缀，例如「单637 → 637」。页面统一展示适配后商号，原始商号通过提示或副标题保留追溯。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商号仍作为结算单唯一业务键和接口参数，选择器和分享链接使用原始商号。</w:t>
      </w:r>
    </w:p>
    <w:p>
      <w:pPr>
        <w:pStyle w:val="Heading2"/>
      </w:pPr>
      <w:r>
        <w:t>5.4 重复导入与覆盖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同一商号再次上传时，返回「已存在待确认」。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用户确认后以 overwrite=true 在同一事务内替换旧结算单；未确认不会覆盖。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上传期间页面显示等待遮罩和「正在导入，请稍候」，按钮禁用，避免重复提交。</w:t>
      </w:r>
    </w:p>
    <w:p>
      <w:pPr>
        <w:pStyle w:val="Heading2"/>
      </w:pPr>
      <w:r>
        <w:t>5.5 导入记录与问题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导入记录展示文件名、商号、单号、导入时间、状态、成功/警告/失败行数。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数据质量概览展示累计批次、需关注批次、失败批次和等级口径。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问题明细可按批次展开查看，也可下载问题 CSV。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问题明细包含行号、级别、类型、字段、说明和原始值。</w:t>
      </w:r>
    </w:p>
    <w:p>
      <w:pPr>
        <w:pStyle w:val="Heading1"/>
      </w:pPr>
      <w:r>
        <w:t>6. 销售总览</w:t>
      </w:r>
    </w:p>
    <w:p>
      <w:pPr>
        <w:pStyle w:val="Heading2"/>
      </w:pPr>
      <w:r>
        <w:t>6.1 页面作用</w:t>
      </w:r>
    </w:p>
    <w:p>
      <w:pPr>
        <w:spacing w:after="120"/>
      </w:pPr>
      <w:r>
        <w:rPr>
          <w:rFonts w:ascii="Calibri" w:hAnsi="Calibri" w:eastAsia="微软雅黑"/>
          <w:b w:val="0"/>
          <w:i w:val="0"/>
        </w:rPr>
        <w:t>查看筛选范围内所有结算单的总体销量、销售额、平均每千克售价，以及 A/B/C 三级的销售情况。</w:t>
      </w:r>
    </w:p>
    <w:p>
      <w:pPr>
        <w:pStyle w:val="Heading2"/>
      </w:pPr>
      <w:r>
        <w:t>6.2 筛选与刷新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到达日期起止：选择后点击「查看结果」刷新。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商号下拉：切换后立即刷新；默认「全部结算单」。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不选择到达日期时查看全部数据。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起止日期校验：开始日期不能晚于结束日期。</w:t>
      </w:r>
    </w:p>
    <w:p>
      <w:pPr>
        <w:pStyle w:val="Heading2"/>
      </w:pPr>
      <w:r>
        <w:t>6.3 指标展示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总销量：筛选范围内数量之和。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总销售额：筛选范围内金额之和。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平均每千克售价：销售金额 ÷ 销售数量（千克）。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A/B/C 卡片：分别展示销量、销售额、平均每千克售价和数量占比。</w:t>
      </w:r>
    </w:p>
    <w:p>
      <w:pPr>
        <w:pStyle w:val="Heading2"/>
      </w:pPr>
      <w:r>
        <w:t>6.4 图表与对比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结算单销售情况：按品牌、销售日期或商号排序（商号为倒序），展示每张结算单的核心指标，并按 A/B/C 等级展示等级、等级均价和占比。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每日趋势：展示每日销量和平均每千克售价，可跟随已选商号。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需要关注：展示数据问题数量以及系统识别出的经营异常。</w:t>
      </w:r>
    </w:p>
    <w:p>
      <w:pPr>
        <w:pStyle w:val="Heading1"/>
      </w:pPr>
      <w:r>
        <w:t>7. 数据明细</w:t>
      </w:r>
    </w:p>
    <w:p>
      <w:pPr>
        <w:pStyle w:val="Heading2"/>
      </w:pPr>
      <w:r>
        <w:t>7.1 页面作用</w:t>
      </w:r>
    </w:p>
    <w:p>
      <w:pPr>
        <w:spacing w:after="120"/>
      </w:pPr>
      <w:r>
        <w:rPr>
          <w:rFonts w:ascii="Calibri" w:hAnsi="Calibri" w:eastAsia="微软雅黑"/>
          <w:b w:val="0"/>
          <w:i w:val="0"/>
        </w:rPr>
        <w:t>按商号查看每张结算单的销售额、各等级件数和平均每千克售价，并可展开查看全部销售明细。</w:t>
      </w:r>
    </w:p>
    <w:p>
      <w:pPr>
        <w:pStyle w:val="Heading2"/>
      </w:pPr>
      <w:r>
        <w:t>7.2 筛选与默认范围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商号下拉：切换后立即刷新，默认「全部结算单」。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到达日期起止：点击「查看结果」刷新。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未传日期时，默认展示最新销售日期往前一个自然月（含两端）。</w:t>
      </w:r>
    </w:p>
    <w:p>
      <w:pPr>
        <w:pStyle w:val="Heading2"/>
      </w:pPr>
      <w:r>
        <w:t>7.3 列表内容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列包含商号、单号、柜号、到达日期、销售额、A 件数、B 件数、C 件数、平均每千克售价和记录数。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可点击「查看明细」打开弹窗，查看该结算单每条销售记录。</w:t>
      </w:r>
    </w:p>
    <w:p>
      <w:pPr>
        <w:pStyle w:val="Heading2"/>
      </w:pPr>
      <w:r>
        <w:t>7.4 销售明细弹窗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按单条卡片展示所有已导入字段：品种、等级、等级原文、规格、数量、单价、金额、销售地区、备注。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支持 Esc 键或点击遮罩关闭。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桌面端双列卡片、移动端单列卡片，避免横向滚动。</w:t>
      </w:r>
    </w:p>
    <w:p>
      <w:pPr>
        <w:pStyle w:val="Heading1"/>
      </w:pPr>
      <w:r>
        <w:t>8. 结算单详情</w:t>
      </w:r>
    </w:p>
    <w:p>
      <w:pPr>
        <w:pStyle w:val="Heading2"/>
      </w:pPr>
      <w:r>
        <w:t>8.1 页面作用</w:t>
      </w:r>
    </w:p>
    <w:p>
      <w:pPr>
        <w:spacing w:after="120"/>
      </w:pPr>
      <w:r>
        <w:rPr>
          <w:rFonts w:ascii="Calibri" w:hAnsi="Calibri" w:eastAsia="微软雅黑"/>
          <w:b w:val="0"/>
          <w:i w:val="0"/>
        </w:rPr>
        <w:t>选择一张结算单，查看销量、销售额、等级情况、结算摘要、每日趋势、与同期其他结算单的基准对比及来源追溯。</w:t>
      </w:r>
    </w:p>
    <w:p>
      <w:pPr>
        <w:pStyle w:val="Heading2"/>
      </w:pPr>
      <w:r>
        <w:t>8.2 筛选与默认选中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商号下拉切换后自动刷新；默认选中第一张可用结算单。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到达日期起止：点击「查看结果」刷新。</w:t>
      </w:r>
    </w:p>
    <w:p>
      <w:pPr>
        <w:pStyle w:val="Heading2"/>
      </w:pPr>
      <w:r>
        <w:t>8.3 核心内容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关键指标：销量、销售额、平均每千克售价、销售额排名。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等级销售情况：A/B/C 的销量、金额、平均每千克售价和占比。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每日趋势：该结算单按销售日期统计的销量与平均每千克售价。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结算摘要：展示售后金额、费用金额、清关税、应付金额等已解析字段。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来源追溯：查看销售明细，并追溯每条记录对应源文件。</w:t>
      </w:r>
    </w:p>
    <w:p>
      <w:pPr>
        <w:pStyle w:val="Heading2"/>
      </w:pPr>
      <w:r>
        <w:t>8.4 基准对比与异常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与同期其他结算单对比各等级平均每千克售价差异。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按规则提示「平均每千克售价偏低」或「等级销量占比偏离」。</w:t>
      </w:r>
    </w:p>
    <w:p>
      <w:pPr>
        <w:pStyle w:val="Heading1"/>
      </w:pPr>
      <w:r>
        <w:t>9. 结算单对比</w:t>
      </w:r>
    </w:p>
    <w:p>
      <w:pPr>
        <w:pStyle w:val="Heading2"/>
      </w:pPr>
      <w:r>
        <w:t>9.1 页面作用</w:t>
      </w:r>
    </w:p>
    <w:p>
      <w:pPr>
        <w:spacing w:after="120"/>
      </w:pPr>
      <w:r>
        <w:rPr>
          <w:rFonts w:ascii="Calibri" w:hAnsi="Calibri" w:eastAsia="微软雅黑"/>
          <w:b w:val="0"/>
          <w:i w:val="0"/>
        </w:rPr>
        <w:t>按到达日期查看各结算单（按商号归集）的销量、销售额和平均每千克售价。</w:t>
      </w:r>
    </w:p>
    <w:p>
      <w:pPr>
        <w:pStyle w:val="Heading2"/>
      </w:pPr>
      <w:r>
        <w:t>9.2 操作方式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选择到达日期起止，点击「查看结果」。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结果支持按销售额、销量或平均每千克售价排序。</w:t>
      </w:r>
    </w:p>
    <w:p>
      <w:pPr>
        <w:pStyle w:val="Heading2"/>
      </w:pPr>
      <w:r>
        <w:t>9.3 展示内容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每张结算单展示商号、单号、柜号、销售额、销量、平均每千克售价。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同时展示 A/B/C 各等级的等级、等级均价和占比。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移动端适配为紧凑卡片，保证信息可读。</w:t>
      </w:r>
    </w:p>
    <w:p>
      <w:pPr>
        <w:pStyle w:val="Heading1"/>
      </w:pPr>
      <w:r>
        <w:t>10. 系列对比</w:t>
      </w:r>
    </w:p>
    <w:p>
      <w:pPr>
        <w:pStyle w:val="Heading2"/>
      </w:pPr>
      <w:r>
        <w:t>10.1 页面作用</w:t>
      </w:r>
    </w:p>
    <w:p>
      <w:pPr>
        <w:spacing w:after="120"/>
      </w:pPr>
      <w:r>
        <w:rPr>
          <w:rFonts w:ascii="Calibri" w:hAnsi="Calibri" w:eastAsia="微软雅黑"/>
          <w:b w:val="0"/>
          <w:i w:val="0"/>
        </w:rPr>
        <w:t>勾选两张及以上结算单（同一系列或不同系列均可），按 A/B/C 等级分别核算件数、金额和平均每千克售价，并进行系列汇总和等级细分分析。</w:t>
      </w:r>
    </w:p>
    <w:p>
      <w:pPr>
        <w:pStyle w:val="Heading2"/>
      </w:pPr>
      <w:r>
        <w:t>10.2 选择结算单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通过抽屉式选择器选择结算单，支持搜索、系列折叠、按系列/最近到达排序。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勾选状态为草稿，点击「确定」才触发一次对比请求。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已选组合写入地址栏 selected 参数，可分享或还原。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至少选择两张结算单才能对比；一次最多选择 6 张用于 AI 分析。</w:t>
      </w:r>
    </w:p>
    <w:p>
      <w:pPr>
        <w:pStyle w:val="Heading2"/>
      </w:pPr>
      <w:r>
        <w:t>10.3 系列识别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系统取单号开头连续中文前缀作为系列名，例如「宝贝-001」识别为「宝贝」。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识别不出时归入「未识别系列」，不影响其余结算单参与对比。</w:t>
      </w:r>
    </w:p>
    <w:p>
      <w:pPr>
        <w:pStyle w:val="Heading2"/>
      </w:pPr>
      <w:r>
        <w:t>10.4 对比结果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结算单总览表：逐张展示件数、金额、平均每千克售价和 A/B/C 结构。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系列汇总：按系列归集件数、金额、平均每千克售价与等级结构。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A/B/C 独立表：每个等级单独展示件数、金额、平均每千克售价和金额占比。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等级价差：展示 A、B、C 平均每千克售价，A-B 价差、B-C 价差和 B 比 A 折价比例。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图表：按 A/B/C 展示平均每千克售价对比和数量/金额结构对比。</w:t>
      </w:r>
    </w:p>
    <w:p>
      <w:pPr>
        <w:pStyle w:val="Heading2"/>
      </w:pPr>
      <w:r>
        <w:t>10.5 等级号别视图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按等级号别查看价格阶梯，例如 A5、B6/7 等。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原始等级按「大等级 + 数字号别」解析；区间写法原样保留，例如 B6/7。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品质标记（熟、裂、黄皮）只做标记，不参与分桶。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无法识别的写法归入「其他」，单独提示且不计入上述阶梯。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可展开数据表，查看每个号别的件数、金额、平均每千克售价、件数占比和金额占比。</w:t>
      </w:r>
    </w:p>
    <w:p>
      <w:pPr>
        <w:pStyle w:val="Heading1"/>
      </w:pPr>
      <w:r>
        <w:t>11. AI 分析结论</w:t>
      </w:r>
    </w:p>
    <w:p>
      <w:pPr>
        <w:pStyle w:val="Heading2"/>
      </w:pPr>
      <w:r>
        <w:t>11.1 可用入口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系列对比中的「按系列」视图：生成所选结算单的整体对比解读。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系列对比中的「按等级号别」视图：生成等级细分解读。</w:t>
      </w:r>
    </w:p>
    <w:p>
      <w:pPr>
        <w:pStyle w:val="Heading2"/>
      </w:pPr>
      <w:r>
        <w:t>11.2 分析范围与规则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一次至少选择 2 张、最多 6 张结算单。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相同筛选条件会直接返回后端缓存；可手动刷新重新生成。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后端先计算对比指标，AI 仅解读结果，避免自行重算产生口径偏差。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AI 未配置或调用失败时，不影响其他页面和数据分析功能。</w:t>
      </w:r>
    </w:p>
    <w:p>
      <w:pPr>
        <w:pStyle w:val="Heading2"/>
      </w:pPr>
      <w:r>
        <w:t>11.3 结论结构</w:t>
      </w:r>
    </w:p>
    <w:p>
      <w:pPr>
        <w:spacing w:after="120"/>
      </w:pPr>
      <w:r>
        <w:rPr>
          <w:rFonts w:ascii="Calibri" w:hAnsi="Calibri" w:eastAsia="微软雅黑"/>
          <w:b w:val="0"/>
          <w:i w:val="0"/>
        </w:rPr>
        <w:t>结论按「结论 + 比较 + 建议」组织，并结合关键数字高亮展示，便于直接阅读。</w:t>
      </w:r>
    </w:p>
    <w:p>
      <w:pPr>
        <w:pStyle w:val="Heading1"/>
      </w:pPr>
      <w:r>
        <w:t>12. 数据导出与追溯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268"/>
            <w:shd w:val="clear" w:fill="1F4E35"/>
          </w:tcPr>
          <w:p>
            <w:r>
              <w:rPr>
                <w:rFonts w:ascii="Calibri" w:hAnsi="Calibri" w:eastAsia="微软雅黑"/>
                <w:b/>
                <w:color w:val="FFFFFF"/>
                <w:sz w:val="19"/>
              </w:rPr>
              <w:t>导出/追溯项</w:t>
            </w:r>
          </w:p>
        </w:tc>
        <w:tc>
          <w:tcPr>
            <w:tcW w:type="dxa" w:w="6633"/>
            <w:shd w:val="clear" w:fill="1F4E35"/>
          </w:tcPr>
          <w:p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 w:eastAsia="微软雅黑"/>
                <w:sz w:val="19"/>
              </w:rPr>
              <w:t>总览 CSV</w:t>
            </w:r>
          </w:p>
        </w:tc>
        <w:tc>
          <w:tcPr>
            <w:tcW w:type="dxa" w:w="6633"/>
          </w:tcPr>
          <w:p>
            <w:r>
              <w:rPr>
                <w:rFonts w:ascii="Calibri" w:hAnsi="Calibri" w:eastAsia="微软雅黑"/>
                <w:sz w:val="19"/>
              </w:rPr>
              <w:t>按筛选范围导出等级汇总，包含销量、销售额、平均每千克售价和数量占比。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 w:eastAsia="微软雅黑"/>
                <w:sz w:val="19"/>
              </w:rPr>
              <w:t>结算单 XLSX</w:t>
            </w:r>
          </w:p>
        </w:tc>
        <w:tc>
          <w:tcPr>
            <w:tcW w:type="dxa" w:w="6633"/>
          </w:tcPr>
          <w:p>
            <w:r>
              <w:rPr>
                <w:rFonts w:ascii="Calibri" w:hAnsi="Calibri" w:eastAsia="微软雅黑"/>
                <w:sz w:val="19"/>
              </w:rPr>
              <w:t>导出指定结算单的说明、等级汇总、每日趋势和销售明细四个工作表。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 w:eastAsia="微软雅黑"/>
                <w:sz w:val="19"/>
              </w:rPr>
              <w:t>导入问题 CSV</w:t>
            </w:r>
          </w:p>
        </w:tc>
        <w:tc>
          <w:tcPr>
            <w:tcW w:type="dxa" w:w="6633"/>
          </w:tcPr>
          <w:p>
            <w:r>
              <w:rPr>
                <w:rFonts w:ascii="Calibri" w:hAnsi="Calibri" w:eastAsia="微软雅黑"/>
                <w:sz w:val="19"/>
              </w:rPr>
              <w:t>下载指定批次的导入问题明细。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 w:eastAsia="微软雅黑"/>
                <w:sz w:val="19"/>
              </w:rPr>
              <w:t>来源追溯</w:t>
            </w:r>
          </w:p>
        </w:tc>
        <w:tc>
          <w:tcPr>
            <w:tcW w:type="dxa" w:w="6633"/>
          </w:tcPr>
          <w:p>
            <w:r>
              <w:rPr>
                <w:rFonts w:ascii="Calibri" w:hAnsi="Calibri" w:eastAsia="微软雅黑"/>
                <w:sz w:val="19"/>
              </w:rPr>
              <w:t>按销售记录查看对应源文件信息，用于核对原始数据。</w:t>
            </w:r>
          </w:p>
        </w:tc>
      </w:tr>
    </w:tbl>
    <w:p>
      <w:pPr>
        <w:pStyle w:val="Heading1"/>
      </w:pPr>
      <w:r>
        <w:t>13. 指标口径与业务规则</w:t>
      </w:r>
    </w:p>
    <w:p>
      <w:pPr>
        <w:pStyle w:val="Heading2"/>
      </w:pPr>
      <w:r>
        <w:t>13.1 核心指标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84"/>
            <w:shd w:val="clear" w:fill="1F4E35"/>
          </w:tcPr>
          <w:p>
            <w:r>
              <w:rPr>
                <w:rFonts w:ascii="Calibri" w:hAnsi="Calibri" w:eastAsia="微软雅黑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6917"/>
            <w:shd w:val="clear" w:fill="1F4E35"/>
          </w:tcPr>
          <w:p>
            <w:r>
              <w:rPr>
                <w:rFonts w:ascii="Calibri" w:hAnsi="Calibri" w:eastAsia="微软雅黑"/>
                <w:b/>
                <w:color w:val="FFFFFF"/>
                <w:sz w:val="19"/>
              </w:rPr>
              <w:t>计算公式/规则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 w:eastAsia="微软雅黑"/>
                <w:sz w:val="19"/>
              </w:rPr>
              <w:t>销售数量</w:t>
            </w:r>
          </w:p>
        </w:tc>
        <w:tc>
          <w:tcPr>
            <w:tcW w:type="dxa" w:w="6917"/>
          </w:tcPr>
          <w:p>
            <w:r>
              <w:rPr>
                <w:rFonts w:ascii="Calibri" w:hAnsi="Calibri" w:eastAsia="微软雅黑"/>
                <w:sz w:val="19"/>
              </w:rPr>
              <w:t>筛选范围内 quantity 之和。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 w:eastAsia="微软雅黑"/>
                <w:sz w:val="19"/>
              </w:rPr>
              <w:t>销售金额</w:t>
            </w:r>
          </w:p>
        </w:tc>
        <w:tc>
          <w:tcPr>
            <w:tcW w:type="dxa" w:w="6917"/>
          </w:tcPr>
          <w:p>
            <w:r>
              <w:rPr>
                <w:rFonts w:ascii="Calibri" w:hAnsi="Calibri" w:eastAsia="微软雅黑"/>
                <w:sz w:val="19"/>
              </w:rPr>
              <w:t>筛选范围内 amount 之和。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 w:eastAsia="微软雅黑"/>
                <w:sz w:val="19"/>
              </w:rPr>
              <w:t>平均每千克售价</w:t>
            </w:r>
          </w:p>
        </w:tc>
        <w:tc>
          <w:tcPr>
            <w:tcW w:type="dxa" w:w="6917"/>
          </w:tcPr>
          <w:p>
            <w:r>
              <w:rPr>
                <w:rFonts w:ascii="Calibri" w:hAnsi="Calibri" w:eastAsia="微软雅黑"/>
                <w:sz w:val="19"/>
              </w:rPr>
              <w:t>销售金额 ÷ 销售数量（千克）；数量为 0 时为空。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 w:eastAsia="微软雅黑"/>
                <w:sz w:val="19"/>
              </w:rPr>
              <w:t>数量占比</w:t>
            </w:r>
          </w:p>
        </w:tc>
        <w:tc>
          <w:tcPr>
            <w:tcW w:type="dxa" w:w="6917"/>
          </w:tcPr>
          <w:p>
            <w:r>
              <w:rPr>
                <w:rFonts w:ascii="Calibri" w:hAnsi="Calibri" w:eastAsia="微软雅黑"/>
                <w:sz w:val="19"/>
              </w:rPr>
              <w:t>某等级销售数量 ÷ 同筛选范围总销售数量。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 w:eastAsia="微软雅黑"/>
                <w:sz w:val="19"/>
              </w:rPr>
              <w:t>金额占比</w:t>
            </w:r>
          </w:p>
        </w:tc>
        <w:tc>
          <w:tcPr>
            <w:tcW w:type="dxa" w:w="6917"/>
          </w:tcPr>
          <w:p>
            <w:r>
              <w:rPr>
                <w:rFonts w:ascii="Calibri" w:hAnsi="Calibri" w:eastAsia="微软雅黑"/>
                <w:sz w:val="19"/>
              </w:rPr>
              <w:t>某等级销售金额 ÷ 同筛选范围总销售金额（系列对比使用）。</w:t>
            </w:r>
          </w:p>
        </w:tc>
      </w:tr>
      <w:tr>
        <w:tc>
          <w:tcPr>
            <w:tcW w:type="dxa" w:w="1984"/>
          </w:tcPr>
          <w:p>
            <w:r>
              <w:rPr>
                <w:rFonts w:ascii="Calibri" w:hAnsi="Calibri" w:eastAsia="微软雅黑"/>
                <w:sz w:val="19"/>
              </w:rPr>
              <w:t>B 比 A 折价</w:t>
            </w:r>
          </w:p>
        </w:tc>
        <w:tc>
          <w:tcPr>
            <w:tcW w:type="dxa" w:w="6917"/>
          </w:tcPr>
          <w:p>
            <w:r>
              <w:rPr>
                <w:rFonts w:ascii="Calibri" w:hAnsi="Calibri" w:eastAsia="微软雅黑"/>
                <w:sz w:val="19"/>
              </w:rPr>
              <w:t>(A 平均每千克售价 - B 平均每千克售价) ÷ A 平均每千克售价；A 平均每千克售价存在且 B 平均每千克售价存在时计算。</w:t>
            </w:r>
          </w:p>
        </w:tc>
      </w:tr>
    </w:tbl>
    <w:p>
      <w:pPr>
        <w:pStyle w:val="Heading2"/>
      </w:pPr>
      <w:r>
        <w:t>13.2 等级规则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A/A6 → A；B/B6 → B；C/C6/BC/BC6 → C。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界面显示为「C 果（含 BC）」。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原始 BC 等级不保留为独立展示等级，但原始等级信息可追溯。</w:t>
      </w:r>
    </w:p>
    <w:p>
      <w:pPr>
        <w:pStyle w:val="Heading2"/>
      </w:pPr>
      <w:r>
        <w:t>13.3 日期与结算单规则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日期筛选按销售日期计算，不按导入时间。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未指定日期时，数据明细默认取最新销售日期往前一个自然月。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结算单以商号为唯一业务键；柜号仅作为车柜标识。</w:t>
      </w:r>
    </w:p>
    <w:p>
      <w:pPr>
        <w:pStyle w:val="Heading2"/>
      </w:pPr>
      <w:r>
        <w:t>13.4 异常识别规则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268"/>
            <w:shd w:val="clear" w:fill="1F4E35"/>
          </w:tcPr>
          <w:p>
            <w:r>
              <w:rPr>
                <w:rFonts w:ascii="Calibri" w:hAnsi="Calibri" w:eastAsia="微软雅黑"/>
                <w:b/>
                <w:color w:val="FFFFFF"/>
                <w:sz w:val="19"/>
              </w:rPr>
              <w:t>异常类型</w:t>
            </w:r>
          </w:p>
        </w:tc>
        <w:tc>
          <w:tcPr>
            <w:tcW w:type="dxa" w:w="6633"/>
            <w:shd w:val="clear" w:fill="1F4E35"/>
          </w:tcPr>
          <w:p>
            <w:r>
              <w:rPr>
                <w:rFonts w:ascii="Calibri" w:hAnsi="Calibri" w:eastAsia="微软雅黑"/>
                <w:b/>
                <w:color w:val="FFFFFF"/>
                <w:sz w:val="19"/>
              </w:rPr>
              <w:t>触发条件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 w:eastAsia="微软雅黑"/>
                <w:sz w:val="19"/>
              </w:rPr>
              <w:t>平均每千克售价偏低</w:t>
            </w:r>
          </w:p>
        </w:tc>
        <w:tc>
          <w:tcPr>
            <w:tcW w:type="dxa" w:w="6633"/>
          </w:tcPr>
          <w:p>
            <w:r>
              <w:rPr>
                <w:rFonts w:ascii="Calibri" w:hAnsi="Calibri" w:eastAsia="微软雅黑"/>
                <w:sz w:val="19"/>
              </w:rPr>
              <w:t>至少 2 张结算单，且当前结算单平均每千克售价低于同期整体平均每千克售价的 80%。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 w:eastAsia="微软雅黑"/>
                <w:sz w:val="19"/>
              </w:rPr>
              <w:t>等级销量占比偏离</w:t>
            </w:r>
          </w:p>
        </w:tc>
        <w:tc>
          <w:tcPr>
            <w:tcW w:type="dxa" w:w="6633"/>
          </w:tcPr>
          <w:p>
            <w:r>
              <w:rPr>
                <w:rFonts w:ascii="Calibri" w:hAnsi="Calibri" w:eastAsia="微软雅黑"/>
                <w:sz w:val="19"/>
              </w:rPr>
              <w:t>至少 2 张结算单，且某等级销量占比较同期整体偏离超过 25 个百分点。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 w:eastAsia="微软雅黑"/>
                <w:sz w:val="19"/>
              </w:rPr>
              <w:t>日销量偏离</w:t>
            </w:r>
          </w:p>
        </w:tc>
        <w:tc>
          <w:tcPr>
            <w:tcW w:type="dxa" w:w="6633"/>
          </w:tcPr>
          <w:p>
            <w:r>
              <w:rPr>
                <w:rFonts w:ascii="Calibri" w:hAnsi="Calibri" w:eastAsia="微软雅黑"/>
                <w:sz w:val="19"/>
              </w:rPr>
              <w:t>至少 3 个销售日，且某日销量较同期中位数偏离超过 50%。</w:t>
            </w:r>
          </w:p>
        </w:tc>
      </w:tr>
    </w:tbl>
    <w:p>
      <w:pPr>
        <w:pStyle w:val="Heading1"/>
      </w:pPr>
      <w:r>
        <w:t>14. 安全与权限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业务页面和 API 均要求登录；公开演示页 /preview 不包含真实业务数据。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密码使用 Argon2 哈希存储。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登录会话使用服务端会话，数据库仅保存 token 的 SHA-256 哈希。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浏览器通过 HttpOnly Cookie fruit_session 携带凭证，前端脚本无法读取。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用户名登录忽略大小写；错误提示不泄露账号是否存在。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会话可服务端撤销，退出登录会删除会话并清除 Cookie。</w:t>
      </w:r>
    </w:p>
    <w:p>
      <w:pPr>
        <w:pStyle w:val="Heading1"/>
      </w:pPr>
      <w:r>
        <w:t>15. 非功能特性</w:t>
      </w:r>
    </w:p>
    <w:p>
      <w:pPr>
        <w:pStyle w:val="Heading2"/>
      </w:pPr>
      <w:r>
        <w:t>15.1 前端技术特点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Vue 3 + Vue Router + Vite，无状态管理库、无 UI 组件库、无图表库。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图表由手写 SVG 组件实现，保证移动端适配和主题一致性。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图表统一提供跟随式提示，提升可读性。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业务路由按需懒加载，图标深导入，降低首屏资源体积。</w:t>
      </w:r>
    </w:p>
    <w:p>
      <w:pPr>
        <w:pStyle w:val="Heading2"/>
      </w:pPr>
      <w:r>
        <w:t>15.2 后端技术特点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FastAPI + SQLAlchemy 2.0 + MySQL，单体前后端分离应用。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导入文件保存在后端 uploads 目录，业务数据入库；真实附件不入 Git。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金额使用 Decimal 计算，导出时做表格公式注入防护。</w:t>
      </w:r>
    </w:p>
    <w:p>
      <w:pPr>
        <w:pStyle w:val="Heading2"/>
      </w:pPr>
      <w:r>
        <w:t>15.3 可用性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桌面端与移动端均完成响应式适配。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关键异步操作提供加载态、空状态和错误重试入口。</w:t>
      </w:r>
    </w:p>
    <w:p>
      <w:pPr>
        <w:pStyle w:val="ListBullet"/>
        <w:spacing w:after="40"/>
      </w:pPr>
      <w:r>
        <w:rPr>
          <w:rFonts w:ascii="Calibri" w:hAnsi="Calibri" w:eastAsia="微软雅黑"/>
        </w:rPr>
        <w:t>导入上传、明细弹窗、选择器抽屉等关键交互具备键盘/焦点和 aria 支持。</w:t>
      </w:r>
    </w:p>
    <w:p>
      <w:pPr>
        <w:pStyle w:val="Heading1"/>
      </w:pPr>
      <w:r>
        <w:t>16. 已知限制与后续计划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268"/>
            <w:shd w:val="clear" w:fill="1F4E35"/>
          </w:tcPr>
          <w:p>
            <w:r>
              <w:rPr>
                <w:rFonts w:ascii="Calibri" w:hAnsi="Calibri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6633"/>
            <w:shd w:val="clear" w:fill="1F4E35"/>
          </w:tcPr>
          <w:p>
            <w:r>
              <w:rPr>
                <w:rFonts w:ascii="Calibri" w:hAnsi="Calibri" w:eastAsia="微软雅黑"/>
                <w:b/>
                <w:color w:val="FFFFFF"/>
                <w:sz w:val="19"/>
              </w:rPr>
              <w:t>当前状态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 w:eastAsia="微软雅黑"/>
                <w:sz w:val="19"/>
              </w:rPr>
              <w:t>利润测算</w:t>
            </w:r>
          </w:p>
        </w:tc>
        <w:tc>
          <w:tcPr>
            <w:tcW w:type="dxa" w:w="6633"/>
          </w:tcPr>
          <w:p>
            <w:r>
              <w:rPr>
                <w:rFonts w:ascii="Calibri" w:hAnsi="Calibri" w:eastAsia="微软雅黑"/>
                <w:sz w:val="19"/>
              </w:rPr>
              <w:t>暂未实现；受采购成本、国内物流与报关费用数据未提供阻塞。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 w:eastAsia="微软雅黑"/>
                <w:sz w:val="19"/>
              </w:rPr>
              <w:t>销售地区维度</w:t>
            </w:r>
          </w:p>
        </w:tc>
        <w:tc>
          <w:tcPr>
            <w:tcW w:type="dxa" w:w="6633"/>
          </w:tcPr>
          <w:p>
            <w:r>
              <w:rPr>
                <w:rFonts w:ascii="Calibri" w:hAnsi="Calibri" w:eastAsia="微软雅黑"/>
                <w:sz w:val="19"/>
              </w:rPr>
              <w:t>字段已预留，待源数据带地区后回填并出报表。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 w:eastAsia="微软雅黑"/>
                <w:sz w:val="19"/>
              </w:rPr>
              <w:t>导入日期别名</w:t>
            </w:r>
          </w:p>
        </w:tc>
        <w:tc>
          <w:tcPr>
            <w:tcW w:type="dxa" w:w="6633"/>
          </w:tcPr>
          <w:p>
            <w:r>
              <w:rPr>
                <w:rFonts w:ascii="Calibri" w:hAnsi="Calibri" w:eastAsia="微软雅黑"/>
                <w:sz w:val="19"/>
              </w:rPr>
              <w:t>当前识别销售日期/日期/销售时间，待确认客户实际表头后再扩展。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 w:eastAsia="微软雅黑"/>
                <w:sz w:val="19"/>
              </w:rPr>
              <w:t>系列后续能力</w:t>
            </w:r>
          </w:p>
        </w:tc>
        <w:tc>
          <w:tcPr>
            <w:tcW w:type="dxa" w:w="6633"/>
          </w:tcPr>
          <w:p>
            <w:r>
              <w:rPr>
                <w:rFonts w:ascii="Calibri" w:hAnsi="Calibri" w:eastAsia="微软雅黑"/>
                <w:sz w:val="19"/>
              </w:rPr>
              <w:t>到港日期、元/KG 换算、系列 Excel 导出、系列别名字典待后续建设。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 w:eastAsia="微软雅黑"/>
                <w:sz w:val="19"/>
              </w:rPr>
              <w:t>真实数据验收</w:t>
            </w:r>
          </w:p>
        </w:tc>
        <w:tc>
          <w:tcPr>
            <w:tcW w:type="dxa" w:w="6633"/>
          </w:tcPr>
          <w:p>
            <w:r>
              <w:rPr>
                <w:rFonts w:ascii="Calibri" w:hAnsi="Calibri" w:eastAsia="微软雅黑"/>
                <w:sz w:val="19"/>
              </w:rPr>
              <w:t>当前主要基于 4 张示例结算单，字段组合待真实数据到位后复验。</w:t>
            </w:r>
          </w:p>
        </w:tc>
      </w:tr>
      <w:tr>
        <w:tc>
          <w:tcPr>
            <w:tcW w:type="dxa" w:w="2268"/>
          </w:tcPr>
          <w:p>
            <w:r>
              <w:rPr>
                <w:rFonts w:ascii="Calibri" w:hAnsi="Calibri" w:eastAsia="微软雅黑"/>
                <w:sz w:val="19"/>
              </w:rPr>
              <w:t>AI 分析</w:t>
            </w:r>
          </w:p>
        </w:tc>
        <w:tc>
          <w:tcPr>
            <w:tcW w:type="dxa" w:w="6633"/>
          </w:tcPr>
          <w:p>
            <w:r>
              <w:rPr>
                <w:rFonts w:ascii="Calibri" w:hAnsi="Calibri" w:eastAsia="微软雅黑"/>
                <w:sz w:val="19"/>
              </w:rPr>
              <w:t>需要配置外部模型服务；未配置时相关按钮/接口不可用，不影响核心功能。</w:t>
            </w:r>
          </w:p>
        </w:tc>
      </w:tr>
    </w:tbl>
    <w:p>
      <w:pPr>
        <w:pStyle w:val="Heading1"/>
      </w:pPr>
      <w:r>
        <w:t>17. 附录：功能与接口对照</w:t>
      </w:r>
    </w:p>
    <w:p>
      <w:pPr>
        <w:spacing w:after="160"/>
      </w:pPr>
      <w:r>
        <w:rPr>
          <w:rFonts w:ascii="Calibri" w:hAnsi="Calibri" w:eastAsia="微软雅黑"/>
          <w:b w:val="0"/>
          <w:i w:val="0"/>
        </w:rPr>
        <w:t>以下列出主要前端页面与后端接口的对应关系，便于使用和维护。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835"/>
            <w:shd w:val="clear" w:fill="1F4E35"/>
          </w:tcPr>
          <w:p>
            <w:r>
              <w:rPr>
                <w:rFonts w:ascii="Calibri" w:hAnsi="Calibri" w:eastAsia="微软雅黑"/>
                <w:b/>
                <w:color w:val="FFFFFF"/>
                <w:sz w:val="19"/>
              </w:rPr>
              <w:t>前端页面/功能</w:t>
            </w:r>
          </w:p>
        </w:tc>
        <w:tc>
          <w:tcPr>
            <w:tcW w:type="dxa" w:w="6066"/>
            <w:shd w:val="clear" w:fill="1F4E35"/>
          </w:tcPr>
          <w:p>
            <w:r>
              <w:rPr>
                <w:rFonts w:ascii="Calibri" w:hAnsi="Calibri" w:eastAsia="微软雅黑"/>
                <w:b/>
                <w:color w:val="FFFFFF"/>
                <w:sz w:val="19"/>
              </w:rPr>
              <w:t>主要接口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 w:eastAsia="微软雅黑"/>
                <w:sz w:val="19"/>
              </w:rPr>
              <w:t>注册 / 登录 / 当前用户 / 退出</w:t>
            </w:r>
          </w:p>
        </w:tc>
        <w:tc>
          <w:tcPr>
            <w:tcW w:type="dxa" w:w="6066"/>
          </w:tcPr>
          <w:p>
            <w:r>
              <w:rPr>
                <w:rFonts w:ascii="Calibri" w:hAnsi="Calibri" w:eastAsia="微软雅黑"/>
                <w:sz w:val="19"/>
              </w:rPr>
              <w:t>POST /api/auth/register、/login、/logout；GET /api/auth/me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 w:eastAsia="微软雅黑"/>
                <w:sz w:val="19"/>
              </w:rPr>
              <w:t>数据导入</w:t>
            </w:r>
          </w:p>
        </w:tc>
        <w:tc>
          <w:tcPr>
            <w:tcW w:type="dxa" w:w="6066"/>
          </w:tcPr>
          <w:p>
            <w:r>
              <w:rPr>
                <w:rFonts w:ascii="Calibri" w:hAnsi="Calibri" w:eastAsia="微软雅黑"/>
                <w:sz w:val="19"/>
              </w:rPr>
              <w:t>POST /api/imports；GET /api/imports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 w:eastAsia="微软雅黑"/>
                <w:sz w:val="19"/>
              </w:rPr>
              <w:t>导入问题</w:t>
            </w:r>
          </w:p>
        </w:tc>
        <w:tc>
          <w:tcPr>
            <w:tcW w:type="dxa" w:w="6066"/>
          </w:tcPr>
          <w:p>
            <w:r>
              <w:rPr>
                <w:rFonts w:ascii="Calibri" w:hAnsi="Calibri" w:eastAsia="微软雅黑"/>
                <w:sz w:val="19"/>
              </w:rPr>
              <w:t>GET /api/imports/{batch_id}/issues；GET /api/imports/{batch_id}/issues.csv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 w:eastAsia="微软雅黑"/>
                <w:sz w:val="19"/>
              </w:rPr>
              <w:t>销售总览</w:t>
            </w:r>
          </w:p>
        </w:tc>
        <w:tc>
          <w:tcPr>
            <w:tcW w:type="dxa" w:w="6066"/>
          </w:tcPr>
          <w:p>
            <w:r>
              <w:rPr>
                <w:rFonts w:ascii="Calibri" w:hAnsi="Calibri" w:eastAsia="微软雅黑"/>
                <w:sz w:val="19"/>
              </w:rPr>
              <w:t>GET /api/analytics/overview；GET /api/analytics/trend；GET /api/analytics/settlement-comparison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 w:eastAsia="微软雅黑"/>
                <w:sz w:val="19"/>
              </w:rPr>
              <w:t>数据明细</w:t>
            </w:r>
          </w:p>
        </w:tc>
        <w:tc>
          <w:tcPr>
            <w:tcW w:type="dxa" w:w="6066"/>
          </w:tcPr>
          <w:p>
            <w:r>
              <w:rPr>
                <w:rFonts w:ascii="Calibri" w:hAnsi="Calibri" w:eastAsia="微软雅黑"/>
                <w:sz w:val="19"/>
              </w:rPr>
              <w:t>GET /api/settlements；GET /api/settlements/{merchant_no}/records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 w:eastAsia="微软雅黑"/>
                <w:sz w:val="19"/>
              </w:rPr>
              <w:t>结算单详情</w:t>
            </w:r>
          </w:p>
        </w:tc>
        <w:tc>
          <w:tcPr>
            <w:tcW w:type="dxa" w:w="6066"/>
          </w:tcPr>
          <w:p>
            <w:r>
              <w:rPr>
                <w:rFonts w:ascii="Calibri" w:hAnsi="Calibri" w:eastAsia="微软雅黑"/>
                <w:sz w:val="19"/>
              </w:rPr>
              <w:t>GET /api/analytics/settlements/{merchant_no}；GET /api/analytics/trend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 w:eastAsia="微软雅黑"/>
                <w:sz w:val="19"/>
              </w:rPr>
              <w:t>结算单对比</w:t>
            </w:r>
          </w:p>
        </w:tc>
        <w:tc>
          <w:tcPr>
            <w:tcW w:type="dxa" w:w="6066"/>
          </w:tcPr>
          <w:p>
            <w:r>
              <w:rPr>
                <w:rFonts w:ascii="Calibri" w:hAnsi="Calibri" w:eastAsia="微软雅黑"/>
                <w:sz w:val="19"/>
              </w:rPr>
              <w:t>GET /api/analytics/settlement-comparison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 w:eastAsia="微软雅黑"/>
                <w:sz w:val="19"/>
              </w:rPr>
              <w:t>系列对比</w:t>
            </w:r>
          </w:p>
        </w:tc>
        <w:tc>
          <w:tcPr>
            <w:tcW w:type="dxa" w:w="6066"/>
          </w:tcPr>
          <w:p>
            <w:r>
              <w:rPr>
                <w:rFonts w:ascii="Calibri" w:hAnsi="Calibri" w:eastAsia="微软雅黑"/>
                <w:sz w:val="19"/>
              </w:rPr>
              <w:t>GET /api/analytics/series-comparison；GET /api/settlements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 w:eastAsia="微软雅黑"/>
                <w:sz w:val="19"/>
              </w:rPr>
              <w:t>AI 分析</w:t>
            </w:r>
          </w:p>
        </w:tc>
        <w:tc>
          <w:tcPr>
            <w:tcW w:type="dxa" w:w="6066"/>
          </w:tcPr>
          <w:p>
            <w:r>
              <w:rPr>
                <w:rFonts w:ascii="Calibri" w:hAnsi="Calibri" w:eastAsia="微软雅黑"/>
                <w:sz w:val="19"/>
              </w:rPr>
              <w:t>POST /api/analytics/series-comparison/analysis；POST /api/analytics/grade-detail/analysis</w:t>
            </w:r>
          </w:p>
        </w:tc>
      </w:tr>
      <w:tr>
        <w:tc>
          <w:tcPr>
            <w:tcW w:type="dxa" w:w="2835"/>
          </w:tcPr>
          <w:p>
            <w:r>
              <w:rPr>
                <w:rFonts w:ascii="Calibri" w:hAnsi="Calibri" w:eastAsia="微软雅黑"/>
                <w:sz w:val="19"/>
              </w:rPr>
              <w:t>导出与追溯</w:t>
            </w:r>
          </w:p>
        </w:tc>
        <w:tc>
          <w:tcPr>
            <w:tcW w:type="dxa" w:w="6066"/>
          </w:tcPr>
          <w:p>
            <w:r>
              <w:rPr>
                <w:rFonts w:ascii="Calibri" w:hAnsi="Calibri" w:eastAsia="微软雅黑"/>
                <w:sz w:val="19"/>
              </w:rPr>
              <w:t>GET /api/exports/overview.csv；GET /api/exports/settlements/{merchant_no}.xlsx；GET /api/exports/records/{record_id}/source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微软雅黑"/>
        <w:color w:val="5B6B64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Calibri" w:hAnsi="Calibri" w:eastAsia="微软雅黑"/>
      <w:color w:val="2028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F4E3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F4E3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20282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 w:eastAsia="微软雅黑"/>
      <w:b/>
      <w:color w:val="1F4E3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SLD-水果市场销售分析 功能说明书</dc:title>
  <dc:subject>水果市场销售分析系统功能说明书</dc:subject>
  <dc:creator>Codex</dc:creator>
  <cp:keywords>水果, 销售分析, A/B/C, 结算单, 系列对比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