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 w:eastAsia="微软雅黑"/>
          <w:b/>
          <w:color w:val="1F4E35"/>
          <w:sz w:val="52"/>
        </w:rPr>
        <w:t>SLD-水果市场销售分析</w:t>
      </w:r>
    </w:p>
    <w:p>
      <w:pPr>
        <w:spacing w:after="480"/>
        <w:jc w:val="center"/>
      </w:pPr>
      <w:r>
        <w:rPr>
          <w:rFonts w:ascii="Calibri" w:hAnsi="Calibri" w:eastAsia="微软雅黑"/>
          <w:b/>
          <w:color w:val="1F4E35"/>
          <w:sz w:val="44"/>
        </w:rPr>
        <w:t>用户操作手册</w:t>
      </w:r>
    </w:p>
    <w:p>
      <w:pPr>
        <w:spacing w:after="120"/>
        <w:jc w:val="center"/>
      </w:pPr>
      <w:r>
        <w:rPr>
          <w:rFonts w:ascii="Calibri" w:hAnsi="Calibri" w:eastAsia="微软雅黑"/>
          <w:color w:val="5B6B64"/>
          <w:sz w:val="21"/>
        </w:rPr>
        <w:t>文档版本：V1.5  |  编制日期：2026-09-13</w:t>
      </w:r>
    </w:p>
    <w:p>
      <w:pPr>
        <w:jc w:val="center"/>
      </w:pPr>
      <w:r>
        <w:rPr>
          <w:rFonts w:ascii="Calibri" w:hAnsi="Calibri" w:eastAsia="微软雅黑"/>
          <w:color w:val="5B6B64"/>
          <w:sz w:val="21"/>
        </w:rPr>
        <w:t>本文档面向日常使用人员，按页面和业务场景说明操作步骤。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40"/>
      </w:pPr>
      <w:r>
        <w:rPr>
          <w:rFonts w:ascii="Calibri" w:hAnsi="Calibri" w:eastAsia="微软雅黑"/>
          <w:sz w:val="21"/>
        </w:rPr>
        <w:t>1. 手册说明</w:t>
      </w:r>
    </w:p>
    <w:p>
      <w:pPr>
        <w:spacing w:after="40"/>
      </w:pPr>
      <w:r>
        <w:rPr>
          <w:rFonts w:ascii="Calibri" w:hAnsi="Calibri" w:eastAsia="微软雅黑"/>
          <w:sz w:val="21"/>
        </w:rPr>
        <w:t>2. 快速开始</w:t>
      </w:r>
    </w:p>
    <w:p>
      <w:pPr>
        <w:spacing w:after="40"/>
      </w:pPr>
      <w:r>
        <w:rPr>
          <w:rFonts w:ascii="Calibri" w:hAnsi="Calibri" w:eastAsia="微软雅黑"/>
          <w:sz w:val="21"/>
        </w:rPr>
        <w:t>3. 注册与登录</w:t>
      </w:r>
    </w:p>
    <w:p>
      <w:pPr>
        <w:spacing w:after="40"/>
      </w:pPr>
      <w:r>
        <w:rPr>
          <w:rFonts w:ascii="Calibri" w:hAnsi="Calibri" w:eastAsia="微软雅黑"/>
          <w:sz w:val="21"/>
        </w:rPr>
        <w:t>4. 认识工作台</w:t>
      </w:r>
    </w:p>
    <w:p>
      <w:pPr>
        <w:spacing w:after="40"/>
      </w:pPr>
      <w:r>
        <w:rPr>
          <w:rFonts w:ascii="Calibri" w:hAnsi="Calibri" w:eastAsia="微软雅黑"/>
          <w:sz w:val="21"/>
        </w:rPr>
        <w:t>5. 数据导入</w:t>
      </w:r>
    </w:p>
    <w:p>
      <w:pPr>
        <w:spacing w:after="40"/>
      </w:pPr>
      <w:r>
        <w:rPr>
          <w:rFonts w:ascii="Calibri" w:hAnsi="Calibri" w:eastAsia="微软雅黑"/>
          <w:sz w:val="21"/>
        </w:rPr>
        <w:t>6. 查看销售总览</w:t>
      </w:r>
    </w:p>
    <w:p>
      <w:pPr>
        <w:spacing w:after="40"/>
      </w:pPr>
      <w:r>
        <w:rPr>
          <w:rFonts w:ascii="Calibri" w:hAnsi="Calibri" w:eastAsia="微软雅黑"/>
          <w:sz w:val="21"/>
        </w:rPr>
        <w:t>7. 查看每一单</w:t>
      </w:r>
    </w:p>
    <w:p>
      <w:pPr>
        <w:spacing w:after="40"/>
      </w:pPr>
      <w:r>
        <w:rPr>
          <w:rFonts w:ascii="Calibri" w:hAnsi="Calibri" w:eastAsia="微软雅黑"/>
          <w:sz w:val="21"/>
        </w:rPr>
        <w:t>8. 查看结算单详情</w:t>
      </w:r>
    </w:p>
    <w:p>
      <w:pPr>
        <w:spacing w:after="40"/>
      </w:pPr>
      <w:r>
        <w:rPr>
          <w:rFonts w:ascii="Calibri" w:hAnsi="Calibri" w:eastAsia="微软雅黑"/>
          <w:sz w:val="21"/>
        </w:rPr>
        <w:t>9. 对比结算单</w:t>
      </w:r>
    </w:p>
    <w:p>
      <w:pPr>
        <w:spacing w:after="40"/>
      </w:pPr>
      <w:r>
        <w:rPr>
          <w:rFonts w:ascii="Calibri" w:hAnsi="Calibri" w:eastAsia="微软雅黑"/>
          <w:sz w:val="21"/>
        </w:rPr>
        <w:t>10. 进行系列对比</w:t>
      </w:r>
    </w:p>
    <w:p>
      <w:pPr>
        <w:spacing w:after="40"/>
      </w:pPr>
      <w:r>
        <w:rPr>
          <w:rFonts w:ascii="Calibri" w:hAnsi="Calibri" w:eastAsia="微软雅黑"/>
          <w:sz w:val="21"/>
        </w:rPr>
        <w:t>11. 使用 AI 分析</w:t>
      </w:r>
    </w:p>
    <w:p>
      <w:pPr>
        <w:spacing w:after="40"/>
      </w:pPr>
      <w:r>
        <w:rPr>
          <w:rFonts w:ascii="Calibri" w:hAnsi="Calibri" w:eastAsia="微软雅黑"/>
          <w:sz w:val="21"/>
        </w:rPr>
        <w:t>12. 导出数据</w:t>
      </w:r>
    </w:p>
    <w:p>
      <w:pPr>
        <w:spacing w:after="40"/>
      </w:pPr>
      <w:r>
        <w:rPr>
          <w:rFonts w:ascii="Calibri" w:hAnsi="Calibri" w:eastAsia="微软雅黑"/>
          <w:sz w:val="21"/>
        </w:rPr>
        <w:t>13. 手机端使用说明</w:t>
      </w:r>
    </w:p>
    <w:p>
      <w:pPr>
        <w:spacing w:after="40"/>
      </w:pPr>
      <w:r>
        <w:rPr>
          <w:rFonts w:ascii="Calibri" w:hAnsi="Calibri" w:eastAsia="微软雅黑"/>
          <w:sz w:val="21"/>
        </w:rPr>
        <w:t>14. 常见问题</w:t>
      </w:r>
    </w:p>
    <w:p>
      <w:pPr>
        <w:spacing w:after="40"/>
      </w:pPr>
      <w:r>
        <w:rPr>
          <w:rFonts w:ascii="Calibri" w:hAnsi="Calibri" w:eastAsia="微软雅黑"/>
          <w:sz w:val="21"/>
        </w:rPr>
        <w:t>15. 文档同步说明</w:t>
      </w:r>
    </w:p>
    <w:p>
      <w:r>
        <w:br w:type="page"/>
      </w:r>
    </w:p>
    <w:p>
      <w:pPr>
        <w:pStyle w:val="Heading1"/>
      </w:pPr>
      <w:r>
        <w:t>1. 手册说明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本手册用于指导使用者完成登录、导入数据、查看销售情况、进行对比分析和导出报表等日常操作。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如果只是想快速了解页面入口，请先阅读「快速开始」。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如果遇到报错或不确定某个指标，请查看「常见问题」。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本手册描述的是当前系统版本；界面新增或调整后，请以最新版本为准。</w:t>
      </w:r>
    </w:p>
    <w:p>
      <w:pPr>
        <w:pStyle w:val="Heading1"/>
      </w:pPr>
      <w:r>
        <w:t>2. 快速开始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建议按以下顺序使用系统：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打开系统地址，注册或登录账号。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进入「数据导入」，上传结算单文件。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打开「卖得怎么样」，查看总销量、销售额和 A/B/C 等级情况。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进入「每一单」，查看每张结算单和销售明细。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需要横向比较时，打开「结算单对比」或「系列对比」。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需要留存报表时，在对应页面使用导出功能。</w:t>
      </w:r>
    </w:p>
    <w:p>
      <w:pPr>
        <w:pStyle w:val="Heading1"/>
      </w:pPr>
      <w:r>
        <w:t>3. 注册与登录</w:t>
      </w:r>
    </w:p>
    <w:p>
      <w:pPr>
        <w:pStyle w:val="Heading2"/>
      </w:pPr>
      <w:r>
        <w:t>3.1 注册账号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打开系统地址，进入登录页。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点击「创建账号」。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输入用户名和密码；密码至少 8 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再次输入密码确认。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点击「创建账号」，成功后自动进入系统。</w:t>
      </w:r>
    </w:p>
    <w:p>
      <w:pPr>
        <w:pStyle w:val="Heading2"/>
      </w:pPr>
      <w:r>
        <w:t>3.2 登录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输入用户名和密码。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如希望 30 天内免登录，勾选「30 天内免登录」。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点击「登录」。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不勾选免登录时，登录状态默认保持 7 天。</w:t>
      </w:r>
    </w:p>
    <w:p>
      <w:pPr>
        <w:pStyle w:val="Heading2"/>
      </w:pPr>
      <w:r>
        <w:t>3.3 退出登录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在页面右上角点击用户名旁的退出按钮。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系统会退出当前账号，并回到登录页。</w:t>
      </w:r>
    </w:p>
    <w:p>
      <w:pPr>
        <w:pStyle w:val="Heading1"/>
      </w:pPr>
      <w:r>
        <w:t>4. 认识工作台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登录后进入工作台，主要分为顶部、左侧导航和页面内容区。</w:t>
      </w:r>
    </w:p>
    <w:p>
      <w:pPr>
        <w:pStyle w:val="Heading2"/>
      </w:pPr>
      <w:r>
        <w:t>4.1 顶部区域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品牌图标：点击可回到「销售总览」。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当前页面名称：显示现在所在的页面。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本地时间：显示当前日期、星期和时分秒；手机端只显示时分秒。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用户名和退出：显示当前登录账号，可退出。</w:t>
      </w:r>
    </w:p>
    <w:p>
      <w:pPr>
        <w:pStyle w:val="Heading2"/>
      </w:pPr>
      <w:r>
        <w:t>4.2 左侧导航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主要入口：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卖得怎么样：查看销售总览。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每一单：查看数据明细。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数据导入：上传和查看导入记录。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更多功能：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结算单详情、结算单对比、系列对比。</w:t>
      </w:r>
    </w:p>
    <w:p>
      <w:pPr>
        <w:pStyle w:val="Heading2"/>
      </w:pPr>
      <w:r>
        <w:t>4.3 页签与快捷操作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打开过的页面会显示为页签，可快速切换。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首页「卖得怎么样」固定保留，其他页签可以关闭。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页面滚动较长后，右下角会出现「回顶部」按钮。</w:t>
      </w:r>
    </w:p>
    <w:p>
      <w:pPr>
        <w:pStyle w:val="Heading1"/>
      </w:pPr>
      <w:r>
        <w:t>5. 数据导入</w:t>
      </w:r>
    </w:p>
    <w:p>
      <w:pPr>
        <w:pStyle w:val="Heading2"/>
      </w:pPr>
      <w:r>
        <w:t>5.1 上传文件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在左侧导航点击「数据导入」。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将 CSV 或 XLSX 文件拖入上传区域，或点击选择文件。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确认所选文件后，点击「开始导入」。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等待导入完成，页面会显示正在导入的提示。</w:t>
      </w:r>
    </w:p>
    <w:p>
      <w:pPr>
        <w:pStyle w:val="Heading2"/>
      </w:pPr>
      <w:r>
        <w:t>5.2 重复导入处理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如果同一商号已经导入过，系统会提示「已存在待确认」。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确认需要替换旧数据时，再点击覆盖导入；否则不要点击覆盖。</w:t>
      </w:r>
    </w:p>
    <w:p>
      <w:pPr>
        <w:pStyle w:val="Heading2"/>
      </w:pPr>
      <w:r>
        <w:t>5.3 查看导入结果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导入完成后，在下方「导入记录和问题」查看结果。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每一条记录会显示成功、警告、失败数量。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点击「查看问题」可展开问题明细。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点击「下载问题明细」可导出问题 CSV。</w:t>
      </w:r>
    </w:p>
    <w:p>
      <w:pPr>
        <w:pStyle w:val="Heading2"/>
      </w:pPr>
      <w:r>
        <w:t>5.4 上传前检查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917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文件格式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CSV 或 XLSX。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单文件大小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不超过 20 MiB。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必要字段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商号、销售日期、等级、数量、单价、金额等按模板填写。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商号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不能缺失，同一商号代表同一张结算单。</w:t>
            </w:r>
          </w:p>
        </w:tc>
      </w:tr>
    </w:tbl>
    <w:p>
      <w:pPr>
        <w:pStyle w:val="Heading1"/>
      </w:pPr>
      <w:r>
        <w:t>6. 查看销售总览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在左侧导航点击「卖得怎么样」。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如需筛选，选择「到达日期起」「到达日期止」和商号。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切换商号后会立即刷新；修改到达日期后点击「查看结果」。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总销量：所选范围内的总件数。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总销售额：所选范围内的总金额。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平均每千克售价：销售额 ÷ 销量（千克）。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A/B/C 卡片：查看每个等级的数量、金额、平均每千克售价和占比。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结算单销售情况：查看各结算单的销售额、销量、平均每千克售价，以及 A/B/C 各等级的等级、等级均价和占比；可切换按品牌、销售日期或商号排序（商号为倒序）。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每日趋势：查看每天销量和平均每千克售价变化。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需要关注：查看数据问题和经营异常提示。</w:t>
      </w:r>
    </w:p>
    <w:p>
      <w:pPr>
        <w:pStyle w:val="Heading1"/>
      </w:pPr>
      <w:r>
        <w:t>7. 查看每一单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在左侧导航点击「每一单」。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使用商号下拉框选择某一结算单，或保留「全部结算单」。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如需要，可设置到达日期范围后点击「查看结果」。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在列表中查看每张结算单的销售额、A/B/C 件数、平均每千克售价等。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点击某张结算单右侧的「查看明细」，查看每条销售记录。</w:t>
      </w:r>
    </w:p>
    <w:p>
      <w:pPr>
        <w:pStyle w:val="Heading2"/>
      </w:pPr>
      <w:r>
        <w:t>7.1 明细弹窗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按单条卡片展示所有已导入字段：品种、等级、等级原文、规格、数量、单价、金额、销售地区、备注。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点击「关闭」、按 Esc 键或点击遮罩区域均可关闭。</w:t>
      </w:r>
    </w:p>
    <w:p>
      <w:pPr>
        <w:pStyle w:val="Heading1"/>
      </w:pPr>
      <w:r>
        <w:t>8. 查看结算单详情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在「更多」中进入「结算单详情」。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在商号下拉框选择要查看的结算单。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如需要，可设置到达日期范围后点击「查看结果」。</w:t>
      </w:r>
    </w:p>
    <w:p>
      <w:pPr>
        <w:spacing w:after="120"/>
      </w:pPr>
      <w:r>
        <w:rPr>
          <w:rFonts w:ascii="Calibri" w:hAnsi="Calibri" w:eastAsia="微软雅黑"/>
          <w:b/>
          <w:i w:val="0"/>
        </w:rPr>
        <w:t>页面主要展示：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销量、销售额、平均每千克售价、销售额排名。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A/B/C 等级销售情况。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每日销量与平均每千克售价趋势。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结算摘要：售后金额、费用金额、清关税、应付金额等。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与同期其他结算单的平均每千克售价对比。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销售明细和来源文件追溯。</w:t>
      </w:r>
    </w:p>
    <w:p>
      <w:pPr>
        <w:pStyle w:val="Heading1"/>
      </w:pPr>
      <w:r>
        <w:t>9. 对比结算单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在「更多」中进入「结算单对比」。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设置到达日期起止。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点击「查看结果」。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在结果上方选择排序方式：按销售额、销量或平均每千克售价。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该页面用于快速找出销售额最高、销量最大或平均每千克售价最高的结算单；每张结算单还展示 A/B/C 各等级的等级、等级均价和占比。</w:t>
      </w:r>
    </w:p>
    <w:p>
      <w:pPr>
        <w:pStyle w:val="Heading1"/>
      </w:pPr>
      <w:r>
        <w:t>10. 进行系列对比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在「更多」中进入「系列对比」。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设置到达日期范围，点击「查看结算单」。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点击「选择结算单」，在抽屉中勾选两张或更多结算单。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点击「确定」，下方立即显示对比结果。</w:t>
      </w:r>
    </w:p>
    <w:p>
      <w:pPr>
        <w:pStyle w:val="Heading2"/>
      </w:pPr>
      <w:r>
        <w:t>10.1 选择器说明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可以搜索结算单。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可以按系列折叠或按最近到达日期排序。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已选组合会出现在地址栏，分享链接可以还原相同选择。</w:t>
      </w:r>
    </w:p>
    <w:p>
      <w:pPr>
        <w:pStyle w:val="Heading2"/>
      </w:pPr>
      <w:r>
        <w:t>10.2 查看对比结果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结算单总览表：逐张查看件数、金额、平均每千克售价。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系列汇总：同一系列的多张结算单合并查看。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A/B/C 独立表：每个等级分别查看。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等级价差：查看 A-B、B-C 价差和 B 比 A 折价。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图表：查看平均每千克售价和结构对比。</w:t>
      </w:r>
    </w:p>
    <w:p>
      <w:pPr>
        <w:pStyle w:val="Heading2"/>
      </w:pPr>
      <w:r>
        <w:t>10.3 按等级号别查看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在详细分析中点击「按等级号别」。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查看每个号别的价格阶梯和数量。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无法识别的等级写法会归入「其他」。</w:t>
      </w:r>
    </w:p>
    <w:p>
      <w:pPr>
        <w:pStyle w:val="Heading1"/>
      </w:pPr>
      <w:r>
        <w:t>11. 使用 AI 分析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在系列对比页面，可以选择让系统生成一段大白话分析。</w:t>
      </w:r>
    </w:p>
    <w:p>
      <w:pPr>
        <w:pStyle w:val="Heading2"/>
      </w:pPr>
      <w:r>
        <w:t>11.1 按系列生成分析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选择两张至六张结算单。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在「按系列」视图点击「生成分析」。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等待片刻，系统会展示结论、比较和建议。</w:t>
      </w:r>
    </w:p>
    <w:p>
      <w:pPr>
        <w:pStyle w:val="Heading2"/>
      </w:pPr>
      <w:r>
        <w:t>11.2 按等级号别生成小结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切换到「按等级号别」视图。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点击「生成号别小结」。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查看号别价格差异和品质标记相关解读。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相同条件再次生成时，系统可能直接返回缓存结果。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如果 AI 未配置或暂时不可用，不影响其他页面。</w:t>
      </w:r>
    </w:p>
    <w:p>
      <w:pPr>
        <w:pStyle w:val="Heading1"/>
      </w:pPr>
      <w:r>
        <w:t>12. 导出数据</w:t>
      </w:r>
    </w:p>
    <w:p>
      <w:pPr>
        <w:pStyle w:val="Heading2"/>
      </w:pPr>
      <w:r>
        <w:t>12.1 总览 CSV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总览页可导出等级汇总 CSV，包含销量、销售额、平均每千克售价和占比。</w:t>
      </w:r>
    </w:p>
    <w:p>
      <w:pPr>
        <w:pStyle w:val="Heading2"/>
      </w:pPr>
      <w:r>
        <w:t>12.2 结算单 XLSX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结算单详情或相关入口可导出单张结算单的 XLSX，内含说明、等级汇总、每日趋势和销售明细。</w:t>
      </w:r>
    </w:p>
    <w:p>
      <w:pPr>
        <w:pStyle w:val="Heading2"/>
      </w:pPr>
      <w:r>
        <w:t>12.3 导入问题 CSV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数据导入页中，有警告或失败记录的批次可下载问题明细 CSV。</w:t>
      </w:r>
    </w:p>
    <w:p>
      <w:pPr>
        <w:pStyle w:val="Heading2"/>
      </w:pPr>
      <w:r>
        <w:t>12.4 来源追溯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在结算单详情中可查看每条销售记录对应的源文件信息。</w:t>
      </w:r>
    </w:p>
    <w:p>
      <w:pPr>
        <w:pStyle w:val="Heading1"/>
      </w:pPr>
      <w:r>
        <w:t>13. 手机端使用说明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手机端使用顶部 header 和底部大按钮导航。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底部导航保留三个主要入口；更多功能在底部「更多」面板。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长表格会自动改为卡片，减少左右滑动。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部分详细分析默认收起，点击「展开详细对比」查看。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字号可根据需要在顶部调整，并自动记住偏好。</w:t>
      </w:r>
    </w:p>
    <w:p>
      <w:pPr>
        <w:pStyle w:val="Heading1"/>
      </w:pPr>
      <w:r>
        <w:t>14. 常见问题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81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520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处理方法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登录失败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检查用户名和密码是否输入正确；密码区分大小写。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文件上传失败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确认文件是 CSV 或 XLSX，且单个文件不超过 20 MiB。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同一商号重复导入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系统会要求确认；如不确定是否覆盖，请先下载原数据或联系管理员。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页面数据为空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确认已经导入数据，并检查到达日期范围是否正确。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日期筛选无效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修改到达日期后需要点击「查看结果」；商号切换通常会自动刷新。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AI 分析失败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可能是 AI 服务未配置或网络异常，稍后重试；不影响普通查询。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 w:eastAsia="微软雅黑"/>
                <w:sz w:val="19"/>
              </w:rPr>
              <w:t>手机端内容显示不全</w:t>
            </w:r>
          </w:p>
        </w:tc>
        <w:tc>
          <w:tcPr>
            <w:tcW w:type="dxa" w:w="6520"/>
          </w:tcPr>
          <w:p>
            <w:r>
              <w:rPr>
                <w:rFonts w:ascii="Calibri" w:hAnsi="Calibri" w:eastAsia="微软雅黑"/>
                <w:sz w:val="19"/>
              </w:rPr>
              <w:t>刷新页面；如仍有问题，请切换为桌面模式或联系管理员。</w:t>
            </w:r>
          </w:p>
        </w:tc>
      </w:tr>
    </w:tbl>
    <w:p>
      <w:pPr>
        <w:pStyle w:val="Heading1"/>
      </w:pPr>
      <w:r>
        <w:t>15. 文档同步说明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本用户操作手册与《SLD-水果市场销售分析-功能说明书》配套使用。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当系统界面、功能入口、操作流程或指标口径发生变化时，需要同步更新本手册。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当接口、数据规则、异常规则或技术能力发生变化时，需要同步更新功能说明书。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两份文档的当前版本均为 V1.5，基于 2026-09-13 现有功能整理。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5B6B6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 w:eastAsia="微软雅黑"/>
      <w:color w:val="2028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28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F4E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SLD-水果市场销售分析 用户操作手册</dc:title>
  <dc:subject>水果市场销售分析系统用户操作手册</dc:subject>
  <dc:creator>Codex</dc:creator>
  <cp:keywords>用户操作, 数据导入, 销售总览, 系列对比,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