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3D04" w14:textId="77777777" w:rsidR="000D0DFA" w:rsidRPr="00D534BD" w:rsidRDefault="00000000" w:rsidP="00D534BD">
      <w:pPr>
        <w:bidi/>
        <w:spacing w:before="240" w:after="80"/>
        <w:jc w:val="center"/>
        <w:rPr>
          <w:rFonts w:hint="eastAsia"/>
          <w:sz w:val="32"/>
          <w:szCs w:val="24"/>
        </w:rPr>
      </w:pPr>
      <w:r w:rsidRPr="00D534BD">
        <w:rPr>
          <w:b/>
          <w:color w:val="1B365D"/>
          <w:sz w:val="52"/>
          <w:szCs w:val="24"/>
          <w:rtl/>
        </w:rPr>
        <w:t>مسودة البحث: مشروع Secure-FEPRH</w:t>
      </w:r>
    </w:p>
    <w:p w14:paraId="2FA18BBC" w14:textId="77777777" w:rsidR="000D0DFA" w:rsidRPr="00D534BD" w:rsidRDefault="00000000" w:rsidP="00D534BD">
      <w:pPr>
        <w:bidi/>
        <w:spacing w:after="480"/>
        <w:jc w:val="center"/>
        <w:rPr>
          <w:rFonts w:hint="eastAsia"/>
          <w:sz w:val="32"/>
          <w:szCs w:val="24"/>
        </w:rPr>
      </w:pPr>
      <w:r w:rsidRPr="00D534BD">
        <w:rPr>
          <w:i/>
          <w:color w:val="008080"/>
          <w:sz w:val="36"/>
          <w:szCs w:val="24"/>
          <w:rtl/>
        </w:rPr>
        <w:t>(النسخة المحسّنة — 14 أغسطس 2026)</w:t>
      </w:r>
    </w:p>
    <w:p w14:paraId="637A777F" w14:textId="77777777" w:rsidR="000D0DFA" w:rsidRPr="00D534BD" w:rsidRDefault="00000000" w:rsidP="00D534BD">
      <w:pPr>
        <w:bidi/>
        <w:spacing w:before="360" w:after="160"/>
        <w:rPr>
          <w:rFonts w:hint="eastAsia"/>
          <w:sz w:val="40"/>
          <w:szCs w:val="32"/>
        </w:rPr>
      </w:pPr>
      <w:r w:rsidRPr="00D534BD">
        <w:rPr>
          <w:b/>
          <w:color w:val="1B365D"/>
          <w:sz w:val="52"/>
          <w:szCs w:val="32"/>
          <w:rtl/>
        </w:rPr>
        <w:t>الفصل الأول: المقدمة (Chapter 1: Introduction)</w:t>
      </w:r>
    </w:p>
    <w:p w14:paraId="6C4738EC" w14:textId="77777777" w:rsidR="000D0DFA" w:rsidRPr="00D534BD" w:rsidRDefault="00000000" w:rsidP="00D534BD">
      <w:pPr>
        <w:bidi/>
        <w:spacing w:before="280"/>
        <w:rPr>
          <w:rFonts w:hint="eastAsia"/>
          <w:sz w:val="36"/>
          <w:szCs w:val="28"/>
        </w:rPr>
      </w:pPr>
      <w:r w:rsidRPr="00D534BD">
        <w:rPr>
          <w:b/>
          <w:color w:val="008080"/>
          <w:sz w:val="40"/>
          <w:szCs w:val="28"/>
          <w:rtl/>
        </w:rPr>
        <w:t>1.1 نظرة عامة (Overview)</w:t>
      </w:r>
    </w:p>
    <w:p w14:paraId="035FA442" w14:textId="77777777" w:rsidR="000D0DFA" w:rsidRPr="00D534BD" w:rsidRDefault="00000000" w:rsidP="00D534BD">
      <w:pPr>
        <w:bidi/>
        <w:rPr>
          <w:rFonts w:hint="eastAsia"/>
          <w:sz w:val="32"/>
          <w:szCs w:val="24"/>
        </w:rPr>
      </w:pPr>
      <w:r w:rsidRPr="00D534BD">
        <w:rPr>
          <w:sz w:val="32"/>
          <w:szCs w:val="24"/>
          <w:rtl/>
        </w:rPr>
        <w:t>تُعد إدارة المشاريع البحثية ومشاريع التخرج في مؤسسات التعليم العالي تحدياً استراتيجياً على المستوى الوطني. ينتج آلاف الطلاب سنوياً — في كليات الهندسة والتكنولوجيا والعلوم — أصولاً رقمية ذات قيمة معرفية عالية تشمل أكواداً مصدرية، وخوارزميات ذكاء اصطناعي، ونماذج محاكاة، ووثائق نظرية مطوّلة. غير أن غياب منصة مركزية متكاملة يؤدي إلى تشتت هذا الإنتاج الفكري في أرشيفات محلية معزولة داخل كل جامعة، مما يُهدر فرص الاستفادة منه كمرجع وطني للأبحاث المستقبلية ويُعرّضه لمخاطر الفقدان والسرقة الفكرية.</w:t>
      </w:r>
    </w:p>
    <w:p w14:paraId="072D2875" w14:textId="77777777" w:rsidR="000D0DFA" w:rsidRPr="00D534BD" w:rsidRDefault="00000000" w:rsidP="00D534BD">
      <w:pPr>
        <w:bidi/>
        <w:rPr>
          <w:rFonts w:hint="eastAsia"/>
          <w:sz w:val="32"/>
          <w:szCs w:val="24"/>
        </w:rPr>
      </w:pPr>
      <w:r w:rsidRPr="00D534BD">
        <w:rPr>
          <w:sz w:val="32"/>
          <w:szCs w:val="24"/>
          <w:rtl/>
        </w:rPr>
        <w:t>تقدم هذه الوثيقة منصة Secure-FEPRH (Secure Framework for Enterprise Project Repository in Higher-education)، وهي بيئة رقمية آمنة ومتكاملة مصممة للعمل على المستوى الوطني (National-Scale Enterprise Architecture) لإدارة دورة حياة المشاريع الأكاديمية بالكامل — من لحظة تكوين الفرق البحثية وحتى المناقشة النهائية والأرشفة الدائمة.</w:t>
      </w:r>
    </w:p>
    <w:p w14:paraId="6A75D7FC" w14:textId="77777777" w:rsidR="000D0DFA" w:rsidRPr="00D534BD" w:rsidRDefault="00000000" w:rsidP="00D534BD">
      <w:pPr>
        <w:bidi/>
        <w:rPr>
          <w:rFonts w:hint="eastAsia"/>
          <w:sz w:val="32"/>
          <w:szCs w:val="24"/>
        </w:rPr>
      </w:pPr>
      <w:r w:rsidRPr="00D534BD">
        <w:rPr>
          <w:sz w:val="32"/>
          <w:szCs w:val="24"/>
          <w:rtl/>
        </w:rPr>
        <w:t>يرتكز النظام على بنية سحابية متعددة المستأجرين (Multi-Tenant Architecture) تخدم كافة الجامعات والكليات تحت إشراف وزارة التعليم العالي، ويتأسس على ثلاثة أعمدة تقنية متكاملة:</w:t>
      </w:r>
    </w:p>
    <w:p w14:paraId="45EBC353" w14:textId="77777777" w:rsidR="000D0DFA" w:rsidRPr="00D534BD" w:rsidRDefault="00000000" w:rsidP="00D534BD">
      <w:pPr>
        <w:bidi/>
        <w:rPr>
          <w:rFonts w:hint="eastAsia"/>
          <w:sz w:val="32"/>
          <w:szCs w:val="24"/>
        </w:rPr>
      </w:pPr>
      <w:r w:rsidRPr="00D534BD">
        <w:rPr>
          <w:sz w:val="32"/>
          <w:szCs w:val="24"/>
          <w:rtl/>
        </w:rPr>
        <w:t>• الأمن السيبراني: عزل البيانات عبر سياسات الأمان على مستوى الصفوف (Row-Level Security)، والتشفير الشامل بمعيار (AES-256)، والمصادقة البيومترية متعددة العوامل (Biometric MFA) مع كشف الحيوية.</w:t>
      </w:r>
    </w:p>
    <w:p w14:paraId="00B12CC2" w14:textId="77777777" w:rsidR="000D0DFA" w:rsidRPr="00D534BD" w:rsidRDefault="00000000" w:rsidP="00D534BD">
      <w:pPr>
        <w:bidi/>
        <w:rPr>
          <w:rFonts w:hint="eastAsia"/>
          <w:sz w:val="32"/>
          <w:szCs w:val="24"/>
        </w:rPr>
      </w:pPr>
      <w:r w:rsidRPr="00D534BD">
        <w:rPr>
          <w:sz w:val="32"/>
          <w:szCs w:val="24"/>
          <w:rtl/>
        </w:rPr>
        <w:t>• الذكاء الاصطناعي: محرك كشف الانتحال ثنائي المسار — يعالج النصوص العربية بنماذج المحولات (AraBERT) ويفحص الأكواد البرمجية بأشجار البنية المجردة (AST) — إلى جانب نظام تتبع الحضور الذكي بالرؤية الحاسوبية.</w:t>
      </w:r>
    </w:p>
    <w:p w14:paraId="280ECDA5" w14:textId="77777777" w:rsidR="000D0DFA" w:rsidRPr="00D534BD" w:rsidRDefault="00000000" w:rsidP="00D534BD">
      <w:pPr>
        <w:bidi/>
        <w:rPr>
          <w:rFonts w:hint="eastAsia"/>
          <w:sz w:val="32"/>
          <w:szCs w:val="24"/>
        </w:rPr>
      </w:pPr>
      <w:r w:rsidRPr="00D534BD">
        <w:rPr>
          <w:sz w:val="32"/>
          <w:szCs w:val="24"/>
          <w:rtl/>
        </w:rPr>
        <w:t>• هندسة البرمجيات: دمج منهجيات العمل الرشيقة (Agile) ولوحات (Kanban) مباشرة في عملية الإشراف والتقييم المستمر.</w:t>
      </w:r>
    </w:p>
    <w:p w14:paraId="5AF3EB23" w14:textId="77777777" w:rsidR="000D0DFA" w:rsidRPr="00D534BD" w:rsidRDefault="00000000" w:rsidP="00D534BD">
      <w:pPr>
        <w:bidi/>
        <w:spacing w:before="280"/>
        <w:rPr>
          <w:rFonts w:hint="eastAsia"/>
          <w:sz w:val="36"/>
          <w:szCs w:val="28"/>
        </w:rPr>
      </w:pPr>
      <w:r w:rsidRPr="00D534BD">
        <w:rPr>
          <w:b/>
          <w:color w:val="008080"/>
          <w:sz w:val="40"/>
          <w:szCs w:val="28"/>
          <w:rtl/>
        </w:rPr>
        <w:t>1.2 المشكلة ودوافع البحث (Problem Statement &amp; Motivation)</w:t>
      </w:r>
    </w:p>
    <w:p w14:paraId="5A908BE5" w14:textId="77777777" w:rsidR="000D0DFA" w:rsidRPr="00D534BD" w:rsidRDefault="00000000" w:rsidP="00D534BD">
      <w:pPr>
        <w:bidi/>
        <w:rPr>
          <w:rFonts w:hint="eastAsia"/>
          <w:sz w:val="32"/>
          <w:szCs w:val="24"/>
        </w:rPr>
      </w:pPr>
      <w:r w:rsidRPr="00D534BD">
        <w:rPr>
          <w:sz w:val="32"/>
          <w:szCs w:val="24"/>
          <w:rtl/>
        </w:rPr>
        <w:t>على المستوى الوطني والوزاري، تواجه منظومة التعليم العالي تحديات هيكلية في إدارة الأبحاث الأكاديمية ومشاريع التخرج، أبرزها:</w:t>
      </w:r>
    </w:p>
    <w:p w14:paraId="7653C12E" w14:textId="77777777" w:rsidR="000D0DFA" w:rsidRPr="00D534BD" w:rsidRDefault="00000000" w:rsidP="00D534BD">
      <w:pPr>
        <w:bidi/>
        <w:rPr>
          <w:rFonts w:hint="eastAsia"/>
          <w:sz w:val="32"/>
          <w:szCs w:val="24"/>
        </w:rPr>
      </w:pPr>
      <w:r w:rsidRPr="00D534BD">
        <w:rPr>
          <w:sz w:val="32"/>
          <w:szCs w:val="24"/>
          <w:rtl/>
        </w:rPr>
        <w:t>1. غياب الأرشيف الوطني الموحد: لا توجد بنية تحتية مركزية تدعم تعدد الجامعات (Multi-Tenancy) في نظام واحد مع الحفاظ على عزل صارم لبيانات كل مؤسسة. تعتمد معظم الجامعات على أنظمة أرشفة محلية معزولة (مثل DSpace أو EPrints) تتطلب صيانة مكلفة ولا تتيح التكامل الوطني.</w:t>
      </w:r>
    </w:p>
    <w:p w14:paraId="0626FE9F" w14:textId="77777777" w:rsidR="000D0DFA" w:rsidRPr="00D534BD" w:rsidRDefault="00000000" w:rsidP="00D534BD">
      <w:pPr>
        <w:bidi/>
        <w:rPr>
          <w:rFonts w:hint="eastAsia"/>
          <w:sz w:val="32"/>
          <w:szCs w:val="24"/>
        </w:rPr>
      </w:pPr>
      <w:r w:rsidRPr="00D534BD">
        <w:rPr>
          <w:sz w:val="32"/>
          <w:szCs w:val="24"/>
          <w:rtl/>
        </w:rPr>
        <w:lastRenderedPageBreak/>
        <w:t>2. الانتحال العابر للجامعات (Cross-University Plagiarism): الأنظمة التقليدية لكشف الانتحال تعمل داخل حدود الجامعة الواحدة، مما يسمح لطالب في 'جامعة أ' بنسخ مشروع تخرج من 'جامعة ب' دون إمكانية اكتشاف ذلك. علاوة على ذلك، تعجز هذه الأنظمة عن كشف الانتحال البرمجي الهيكلي (كتغيير أسماء المتغيرات وإعادة ترتيب الدوال) وعن معالجة النصوص العربية المعقدة صرفياً بكفاءة.</w:t>
      </w:r>
    </w:p>
    <w:p w14:paraId="2102C572" w14:textId="77777777" w:rsidR="000D0DFA" w:rsidRPr="00D534BD" w:rsidRDefault="00000000" w:rsidP="00D534BD">
      <w:pPr>
        <w:bidi/>
        <w:rPr>
          <w:rFonts w:hint="eastAsia"/>
          <w:sz w:val="32"/>
          <w:szCs w:val="24"/>
        </w:rPr>
      </w:pPr>
      <w:r w:rsidRPr="00D534BD">
        <w:rPr>
          <w:sz w:val="32"/>
          <w:szCs w:val="24"/>
          <w:rtl/>
        </w:rPr>
        <w:t>3. الثغرات الأمنية وضعف التحقق من الهوية: اعتماد كلمات المرور التقليدية يُعرّض الأنظمة لهجمات الاختراق والتصيد والهندسة الاجتماعية. كما تفتقر عمليات المناقشة والتقييم إلى آليات مؤتمتة وموثوقة للتحقق من الهوية الحقيقية للطلاب والمشرفين عبر كشف الحيوية (Liveness Detection).</w:t>
      </w:r>
    </w:p>
    <w:p w14:paraId="025D7C49" w14:textId="77777777" w:rsidR="000D0DFA" w:rsidRPr="00D534BD" w:rsidRDefault="00000000" w:rsidP="00D534BD">
      <w:pPr>
        <w:bidi/>
        <w:rPr>
          <w:rFonts w:hint="eastAsia"/>
          <w:sz w:val="32"/>
          <w:szCs w:val="24"/>
        </w:rPr>
      </w:pPr>
      <w:r w:rsidRPr="00D534BD">
        <w:rPr>
          <w:sz w:val="32"/>
          <w:szCs w:val="24"/>
          <w:rtl/>
        </w:rPr>
        <w:t>4. انفصال أدوات إدارة المشاريع عن التقييم الأكاديمي: يلجأ الطلاب إلى برمجيات تجارية خارجية (مثل Jira أو Trello) لإدارة مهامهم، مما يخلق فجوة بين تتبع تقدم المشروع وبين الفحص الأكاديمي والأمني، ويُشتّت المشرفين بين أنظمة متعددة غير مترابطة.</w:t>
      </w:r>
    </w:p>
    <w:p w14:paraId="5775B623" w14:textId="77777777" w:rsidR="000D0DFA" w:rsidRPr="00D534BD" w:rsidRDefault="00000000" w:rsidP="00D534BD">
      <w:pPr>
        <w:bidi/>
        <w:rPr>
          <w:rFonts w:hint="eastAsia"/>
          <w:sz w:val="32"/>
          <w:szCs w:val="24"/>
        </w:rPr>
      </w:pPr>
      <w:r w:rsidRPr="00D534BD">
        <w:rPr>
          <w:sz w:val="32"/>
          <w:szCs w:val="24"/>
          <w:rtl/>
        </w:rPr>
        <w:t>5. غياب لوحات القيادة التحليلية: يفتقر صناع القرار في الوزارة والعمداء إلى أدوات تحليل بيانات ضخمة تمنحهم رؤية شاملة حول جودة الأبحاث ونسب الانتحال والتوجهات التكنولوجية على مستوى الدولة.</w:t>
      </w:r>
    </w:p>
    <w:p w14:paraId="59D950B4" w14:textId="77777777" w:rsidR="000D0DFA" w:rsidRPr="00D534BD" w:rsidRDefault="00000000" w:rsidP="00D534BD">
      <w:pPr>
        <w:bidi/>
        <w:spacing w:before="280"/>
        <w:rPr>
          <w:rFonts w:hint="eastAsia"/>
          <w:sz w:val="36"/>
          <w:szCs w:val="28"/>
        </w:rPr>
      </w:pPr>
      <w:r w:rsidRPr="00D534BD">
        <w:rPr>
          <w:b/>
          <w:color w:val="008080"/>
          <w:sz w:val="40"/>
          <w:szCs w:val="28"/>
          <w:rtl/>
        </w:rPr>
        <w:t>1.3 الحل المقترح (Proposed Solution)</w:t>
      </w:r>
    </w:p>
    <w:p w14:paraId="00FA0121" w14:textId="77777777" w:rsidR="000D0DFA" w:rsidRPr="00D534BD" w:rsidRDefault="00000000" w:rsidP="00D534BD">
      <w:pPr>
        <w:bidi/>
        <w:rPr>
          <w:rFonts w:hint="eastAsia"/>
          <w:sz w:val="32"/>
          <w:szCs w:val="24"/>
        </w:rPr>
      </w:pPr>
      <w:r w:rsidRPr="00D534BD">
        <w:rPr>
          <w:sz w:val="32"/>
          <w:szCs w:val="24"/>
          <w:rtl/>
        </w:rPr>
        <w:t>للتغلب على هذه التحديات المترابطة، يقترح هذا المشروع بناء منصة Secure-FEPRH كنظام وزاري مركزي ديناميكي. بدلاً من العمل كمستودع أرشفة ساكن (Static Archive)، يعمل النظام كمحرك سير عمل نشط (Active Workflow Engine) يُدير المشروع الأكاديمي من لحظة تسجيله وحتى أرشفته النهائية.</w:t>
      </w:r>
    </w:p>
    <w:p w14:paraId="120A0C82" w14:textId="77777777" w:rsidR="000D0DFA" w:rsidRPr="00D534BD" w:rsidRDefault="00000000" w:rsidP="00D534BD">
      <w:pPr>
        <w:bidi/>
        <w:rPr>
          <w:rFonts w:hint="eastAsia"/>
          <w:sz w:val="32"/>
          <w:szCs w:val="24"/>
        </w:rPr>
      </w:pPr>
      <w:r w:rsidRPr="00D534BD">
        <w:rPr>
          <w:sz w:val="32"/>
          <w:szCs w:val="24"/>
          <w:rtl/>
        </w:rPr>
        <w:t>يدمج النظام بين عدة تقنيات متقدمة في بنية واحدة متماسكة:</w:t>
      </w:r>
    </w:p>
    <w:p w14:paraId="268E8F93" w14:textId="77777777" w:rsidR="000D0DFA" w:rsidRPr="00D534BD" w:rsidRDefault="00000000" w:rsidP="00D534BD">
      <w:pPr>
        <w:bidi/>
        <w:rPr>
          <w:rFonts w:hint="eastAsia"/>
          <w:sz w:val="32"/>
          <w:szCs w:val="24"/>
        </w:rPr>
      </w:pPr>
      <w:r w:rsidRPr="00D534BD">
        <w:rPr>
          <w:sz w:val="32"/>
          <w:szCs w:val="24"/>
          <w:rtl/>
        </w:rPr>
        <w:t>• سياسات الأمان على مستوى الصفوف (RLS) في قواعد بيانات PostgreSQL لضمان العزل التام لبيانات كل جامعة.</w:t>
      </w:r>
    </w:p>
    <w:p w14:paraId="4626D028" w14:textId="77777777" w:rsidR="000D0DFA" w:rsidRPr="00D534BD" w:rsidRDefault="00000000" w:rsidP="00D534BD">
      <w:pPr>
        <w:bidi/>
        <w:rPr>
          <w:rFonts w:hint="eastAsia"/>
          <w:sz w:val="32"/>
          <w:szCs w:val="24"/>
        </w:rPr>
      </w:pPr>
      <w:r w:rsidRPr="00D534BD">
        <w:rPr>
          <w:sz w:val="32"/>
          <w:szCs w:val="24"/>
          <w:rtl/>
        </w:rPr>
        <w:t>• محركات ذكاء اصطناعي موزعة تفحص النصوص العربية باستخدام نماذج المحولات (AraBERT / TF-IDF) والأكواد البرمجية باستخدام أشجار البنية المجردة (AST) مع الشبكات العصبية الرسومية (GNNs).</w:t>
      </w:r>
    </w:p>
    <w:p w14:paraId="5A0C773E" w14:textId="77777777" w:rsidR="000D0DFA" w:rsidRPr="00D534BD" w:rsidRDefault="00000000" w:rsidP="00D534BD">
      <w:pPr>
        <w:bidi/>
        <w:rPr>
          <w:rFonts w:hint="eastAsia"/>
          <w:sz w:val="32"/>
          <w:szCs w:val="24"/>
        </w:rPr>
      </w:pPr>
      <w:r w:rsidRPr="00D534BD">
        <w:rPr>
          <w:sz w:val="32"/>
          <w:szCs w:val="24"/>
          <w:rtl/>
        </w:rPr>
        <w:t>• مصادقة بيومترية متقدمة تجمع بين التعرف على الوجه وكشف الحيوية المزدوج (السلبي والإيجابي).</w:t>
      </w:r>
    </w:p>
    <w:p w14:paraId="2B476C7A" w14:textId="77777777" w:rsidR="000D0DFA" w:rsidRPr="00D534BD" w:rsidRDefault="00000000" w:rsidP="00D534BD">
      <w:pPr>
        <w:bidi/>
        <w:rPr>
          <w:rFonts w:hint="eastAsia"/>
          <w:sz w:val="32"/>
          <w:szCs w:val="24"/>
        </w:rPr>
      </w:pPr>
      <w:r w:rsidRPr="00D534BD">
        <w:rPr>
          <w:sz w:val="32"/>
          <w:szCs w:val="24"/>
          <w:rtl/>
        </w:rPr>
        <w:t>• لوحات عمل Kanban أصلية مدمجة في المنصة تربط نقل المهام تلقائياً بتشغيل فحوصات الانتحال في الخلفية.</w:t>
      </w:r>
    </w:p>
    <w:p w14:paraId="6E194DD3" w14:textId="77777777" w:rsidR="000D0DFA" w:rsidRPr="00D534BD" w:rsidRDefault="00000000" w:rsidP="00D534BD">
      <w:pPr>
        <w:bidi/>
        <w:spacing w:before="280"/>
        <w:rPr>
          <w:rFonts w:hint="eastAsia"/>
          <w:sz w:val="36"/>
          <w:szCs w:val="28"/>
        </w:rPr>
      </w:pPr>
      <w:r w:rsidRPr="00D534BD">
        <w:rPr>
          <w:b/>
          <w:color w:val="008080"/>
          <w:sz w:val="40"/>
          <w:szCs w:val="28"/>
          <w:rtl/>
        </w:rPr>
        <w:t>1.4 أهداف المشروع (Project Objectives)</w:t>
      </w:r>
    </w:p>
    <w:p w14:paraId="5BCB78C2" w14:textId="77777777" w:rsidR="000D0DFA" w:rsidRPr="00D534BD" w:rsidRDefault="00000000" w:rsidP="00D534BD">
      <w:pPr>
        <w:bidi/>
        <w:rPr>
          <w:rFonts w:hint="eastAsia"/>
          <w:sz w:val="32"/>
          <w:szCs w:val="24"/>
        </w:rPr>
      </w:pPr>
      <w:r w:rsidRPr="00D534BD">
        <w:rPr>
          <w:sz w:val="32"/>
          <w:szCs w:val="24"/>
          <w:rtl/>
        </w:rPr>
        <w:t>1. بنية السحابة المتعددة والعزل (Multi-Tenancy &amp; Tenant Isolation): بناء هيكلية بيانات هرمية (وزارة ← جامعة ← كلية ← قسم ← مشرف) تضمن الاستقلالية التامة لبيانات كل جامعة مع توفير مركزية الرقابة الوزارية.</w:t>
      </w:r>
    </w:p>
    <w:p w14:paraId="27E493E7" w14:textId="77777777" w:rsidR="000D0DFA" w:rsidRPr="00D534BD" w:rsidRDefault="00000000" w:rsidP="00D534BD">
      <w:pPr>
        <w:bidi/>
        <w:rPr>
          <w:rFonts w:hint="eastAsia"/>
          <w:sz w:val="32"/>
          <w:szCs w:val="24"/>
        </w:rPr>
      </w:pPr>
      <w:r w:rsidRPr="00D534BD">
        <w:rPr>
          <w:sz w:val="32"/>
          <w:szCs w:val="24"/>
          <w:rtl/>
        </w:rPr>
        <w:t>2. محرك الانتحال الوطني ثنائي المسار (Dual-Engine National Plagiarism): تطوير نظام ذكاء اصطناعي موزع يفحص الأصالة النصية (NLP للنصوص العربية) والأصالة البرمجية (AST) في آن واحد، ومقارنة النتائج بقاعدة بيانات تشمل كافة المشاريع على مستوى الجمهورية.</w:t>
      </w:r>
    </w:p>
    <w:p w14:paraId="070ACE34" w14:textId="77777777" w:rsidR="000D0DFA" w:rsidRPr="00D534BD" w:rsidRDefault="00000000" w:rsidP="00D534BD">
      <w:pPr>
        <w:bidi/>
        <w:rPr>
          <w:rFonts w:hint="eastAsia"/>
          <w:sz w:val="32"/>
          <w:szCs w:val="24"/>
        </w:rPr>
      </w:pPr>
      <w:r w:rsidRPr="00D534BD">
        <w:rPr>
          <w:sz w:val="32"/>
          <w:szCs w:val="24"/>
          <w:rtl/>
        </w:rPr>
        <w:lastRenderedPageBreak/>
        <w:t>3. تأمين الهوية والمصادقة البيومترية (Identity &amp; Biometric MFA): تطبيق مصادقة ثنائية تعتمد على التعرف على الوجه وفحص الحيوية لضمان هوية المستخدمين في جلسات الدخول والحضور والمناقشة.</w:t>
      </w:r>
    </w:p>
    <w:p w14:paraId="449546BB" w14:textId="77777777" w:rsidR="000D0DFA" w:rsidRPr="00D534BD" w:rsidRDefault="00000000" w:rsidP="00D534BD">
      <w:pPr>
        <w:bidi/>
        <w:rPr>
          <w:rFonts w:hint="eastAsia"/>
          <w:sz w:val="32"/>
          <w:szCs w:val="24"/>
        </w:rPr>
      </w:pPr>
      <w:r w:rsidRPr="00D534BD">
        <w:rPr>
          <w:sz w:val="32"/>
          <w:szCs w:val="24"/>
          <w:rtl/>
        </w:rPr>
        <w:t>4. أتمتة سير العمل الأكاديمي (Agile Academic Workflows): دمج لوحات Kanban أصلية داخل المنصة، بحيث يؤدي نقل المهام من عمود إلى آخر إلى تشغيل فحوصات الانتحال آلياً وتشفير الملفات في الخلفية.</w:t>
      </w:r>
    </w:p>
    <w:p w14:paraId="2DC7435C" w14:textId="77777777" w:rsidR="000D0DFA" w:rsidRPr="00D534BD" w:rsidRDefault="00000000" w:rsidP="00D534BD">
      <w:pPr>
        <w:bidi/>
        <w:rPr>
          <w:rFonts w:hint="eastAsia"/>
          <w:sz w:val="32"/>
          <w:szCs w:val="24"/>
        </w:rPr>
      </w:pPr>
      <w:r w:rsidRPr="00D534BD">
        <w:rPr>
          <w:sz w:val="32"/>
          <w:szCs w:val="24"/>
          <w:rtl/>
        </w:rPr>
        <w:t>5. لوحات القيادة الوزارية (Ministry Dashboards): توفير تحليلات بيانات ضخمة تمنح مسؤولي الوزارة والعمداء رؤية شاملة حول حالة المشاريع ونسب الحضور ومؤشرات الانتحال والتوجهات التكنولوجية.</w:t>
      </w:r>
    </w:p>
    <w:p w14:paraId="506FE894" w14:textId="77777777" w:rsidR="000D0DFA" w:rsidRPr="00D534BD" w:rsidRDefault="00000000" w:rsidP="00D534BD">
      <w:pPr>
        <w:bidi/>
        <w:spacing w:before="280"/>
        <w:rPr>
          <w:rFonts w:hint="eastAsia"/>
          <w:sz w:val="36"/>
          <w:szCs w:val="28"/>
        </w:rPr>
      </w:pPr>
      <w:r w:rsidRPr="00D534BD">
        <w:rPr>
          <w:b/>
          <w:color w:val="008080"/>
          <w:sz w:val="40"/>
          <w:szCs w:val="28"/>
          <w:rtl/>
        </w:rPr>
        <w:t>1.5 نطاق المشروع (Project Scope)</w:t>
      </w:r>
    </w:p>
    <w:p w14:paraId="703A4C88" w14:textId="77777777" w:rsidR="000D0DFA" w:rsidRPr="00D534BD" w:rsidRDefault="00000000" w:rsidP="00D534BD">
      <w:pPr>
        <w:bidi/>
        <w:rPr>
          <w:rFonts w:hint="eastAsia"/>
          <w:sz w:val="32"/>
          <w:szCs w:val="24"/>
        </w:rPr>
      </w:pPr>
      <w:r w:rsidRPr="00D534BD">
        <w:rPr>
          <w:sz w:val="32"/>
          <w:szCs w:val="24"/>
          <w:rtl/>
        </w:rPr>
        <w:t>• المشمول في النطاق (In Scope): تصميم وتطوير النظام كمنصة سحابية متكاملة تخدم جامعات متعددة بأدوار إدارية مختلفة (مدير وزاري، عميد جامعة، مشرف، طالب). يشمل النطاق تطوير واجهات برمجة تطبيقات (APIs) موزعة، وتنفيذ نماذج الذكاء الاصطناعي لفحص النصوص والأكواد، ونظام التعرف على الوجه مع كشف الحيوية، ولوحات إدارة المشاريع (Kanban)، ولوحات التحليلات والتقارير.</w:t>
      </w:r>
    </w:p>
    <w:p w14:paraId="0796E449" w14:textId="77777777" w:rsidR="000D0DFA" w:rsidRPr="00D534BD" w:rsidRDefault="00000000" w:rsidP="00D534BD">
      <w:pPr>
        <w:bidi/>
        <w:rPr>
          <w:rFonts w:hint="eastAsia"/>
          <w:sz w:val="32"/>
          <w:szCs w:val="24"/>
        </w:rPr>
      </w:pPr>
      <w:r w:rsidRPr="00D534BD">
        <w:rPr>
          <w:sz w:val="32"/>
          <w:szCs w:val="24"/>
          <w:rtl/>
        </w:rPr>
        <w:t>• خارج النطاق (Out of Scope): لا يشمل المشروع توفير أو إدارة الخوادم المادية (Hardware Infrastructure)؛ بل يركز على بنية البرمجيات القابلة للنشر (Deployment-Ready Software Architecture). كما لا يشمل دمج النظام مع الأنظمة المالية أو شؤون الموظفين بالجامعات.</w:t>
      </w:r>
    </w:p>
    <w:p w14:paraId="42C08722" w14:textId="77777777" w:rsidR="000D0DFA" w:rsidRPr="00D534BD" w:rsidRDefault="00000000" w:rsidP="00D534BD">
      <w:pPr>
        <w:bidi/>
        <w:spacing w:before="360" w:after="160"/>
        <w:rPr>
          <w:rFonts w:hint="eastAsia"/>
          <w:sz w:val="40"/>
          <w:szCs w:val="32"/>
        </w:rPr>
      </w:pPr>
      <w:r w:rsidRPr="00D534BD">
        <w:rPr>
          <w:b/>
          <w:color w:val="1B365D"/>
          <w:sz w:val="52"/>
          <w:szCs w:val="32"/>
          <w:rtl/>
        </w:rPr>
        <w:t>الفصل الثاني: الدراسات السابقة (Chapter 2: Literature Review)</w:t>
      </w:r>
    </w:p>
    <w:p w14:paraId="6F0CE92F" w14:textId="77777777" w:rsidR="000D0DFA" w:rsidRPr="00D534BD" w:rsidRDefault="00000000" w:rsidP="00D534BD">
      <w:pPr>
        <w:bidi/>
        <w:rPr>
          <w:rFonts w:hint="eastAsia"/>
          <w:sz w:val="32"/>
          <w:szCs w:val="24"/>
        </w:rPr>
      </w:pPr>
      <w:r w:rsidRPr="00D534BD">
        <w:rPr>
          <w:sz w:val="32"/>
          <w:szCs w:val="24"/>
          <w:rtl/>
        </w:rPr>
        <w:t>يستعرض هذا الفصل الأسس النظرية والدراسات السابقة الحديثة (2020–2026) التي تشكل القاعدة المعرفية لمنصة Secure-FEPRH. تم تنظيم المراجعة حول خمسة مجالات تقنية تتوافق مع الأعمدة المعمارية للنظام. من بين الأبحاث المتاحة في الأدبيات العلمية الحديثة، تم اختيار ثماني (8) دراسات ذات صلة مباشرة وعالية بمحاور المشروع، مع تقديم تحليل منهجي للفجوات البحثية (Gap Analysis) التي يسدها نظام Secure-FEPRH.</w:t>
      </w:r>
    </w:p>
    <w:p w14:paraId="5D5A9500" w14:textId="77777777" w:rsidR="000D0DFA" w:rsidRPr="00D534BD" w:rsidRDefault="00000000" w:rsidP="00D534BD">
      <w:pPr>
        <w:bidi/>
        <w:spacing w:before="280"/>
        <w:rPr>
          <w:rFonts w:hint="eastAsia"/>
          <w:sz w:val="36"/>
          <w:szCs w:val="28"/>
        </w:rPr>
      </w:pPr>
      <w:r w:rsidRPr="00D534BD">
        <w:rPr>
          <w:b/>
          <w:color w:val="008080"/>
          <w:sz w:val="40"/>
          <w:szCs w:val="28"/>
          <w:rtl/>
        </w:rPr>
        <w:t>2.1 المجال الأول: إدارة المشاريع الأكاديمية والمستودعات السحابية</w:t>
      </w:r>
    </w:p>
    <w:p w14:paraId="7713149C" w14:textId="77777777" w:rsidR="000D0DFA" w:rsidRPr="00D534BD" w:rsidRDefault="00000000" w:rsidP="00D534BD">
      <w:pPr>
        <w:bidi/>
        <w:spacing w:before="200" w:after="80"/>
        <w:rPr>
          <w:rFonts w:hint="eastAsia"/>
          <w:sz w:val="32"/>
          <w:szCs w:val="24"/>
        </w:rPr>
      </w:pPr>
      <w:r w:rsidRPr="00D534BD">
        <w:rPr>
          <w:b/>
          <w:color w:val="1B365D"/>
          <w:sz w:val="32"/>
          <w:szCs w:val="24"/>
          <w:rtl/>
        </w:rPr>
        <w:t>الخلفية النظرية</w:t>
      </w:r>
    </w:p>
    <w:p w14:paraId="320AAF4A" w14:textId="77777777" w:rsidR="000D0DFA" w:rsidRDefault="00000000" w:rsidP="00D534BD">
      <w:pPr>
        <w:bidi/>
        <w:rPr>
          <w:sz w:val="32"/>
          <w:szCs w:val="24"/>
        </w:rPr>
      </w:pPr>
      <w:r w:rsidRPr="00D534BD">
        <w:rPr>
          <w:sz w:val="32"/>
          <w:szCs w:val="24"/>
          <w:rtl/>
        </w:rPr>
        <w:t>يتطلب الانتقال من الأرشفة المؤسسية المحلية إلى المستودعات الرقمية الوطنية تنفيذ بنيات سحابية قابلة للتوسع. في بيئة تعدد المستأجرين (Multi-Tenant)، يخدم نظام برمجي واحد وقاعدة بيانات مشتركة عدة مجموعات مستخدمين (Tenants) — تمثل كل منها جامعة أو كلية — مع الحفاظ على عزل منطقي صارم للبيانات. اعتمدت المستودعات المؤسسية التقليدية على بنيات أحادية المستأجر (Single-Tenant) كنسخ محلية من أنظمة DSpace أو EPrints، وهي أنظمة تتطلب تكاليف صيانة مرتفعة وخبرة تقنية متقدمة. في المقابل، توظف المنصات السحابية الحديثة نماذج البرمجيات كخدمة (SaaS) مع الخدمات المصغرة (Microservices) لتقديم حلول ديناميكية وقابلة للتوسع.</w:t>
      </w:r>
    </w:p>
    <w:p w14:paraId="4EC02DB4" w14:textId="77777777" w:rsidR="00D534BD" w:rsidRPr="00D534BD" w:rsidRDefault="00D534BD" w:rsidP="00D534BD">
      <w:pPr>
        <w:bidi/>
        <w:rPr>
          <w:rFonts w:hint="eastAsia"/>
          <w:sz w:val="32"/>
          <w:szCs w:val="24"/>
        </w:rPr>
      </w:pPr>
    </w:p>
    <w:p w14:paraId="5EF38538" w14:textId="77777777" w:rsidR="000D0DFA" w:rsidRPr="00D534BD" w:rsidRDefault="00000000" w:rsidP="00D534BD">
      <w:pPr>
        <w:bidi/>
        <w:spacing w:before="200" w:after="80"/>
        <w:rPr>
          <w:rFonts w:hint="eastAsia"/>
          <w:sz w:val="32"/>
          <w:szCs w:val="24"/>
        </w:rPr>
      </w:pPr>
      <w:r w:rsidRPr="00D534BD">
        <w:rPr>
          <w:b/>
          <w:color w:val="1B365D"/>
          <w:sz w:val="32"/>
          <w:szCs w:val="24"/>
          <w:rtl/>
        </w:rPr>
        <w:lastRenderedPageBreak/>
        <w:t>الدراسات المختارة وتحليل الفجوات</w:t>
      </w:r>
    </w:p>
    <w:p w14:paraId="3F4A9F4B" w14:textId="77777777" w:rsidR="000D0DFA" w:rsidRPr="00D534BD" w:rsidRDefault="00000000" w:rsidP="00D534BD">
      <w:pPr>
        <w:bidi/>
        <w:rPr>
          <w:rFonts w:hint="eastAsia"/>
          <w:sz w:val="32"/>
          <w:szCs w:val="24"/>
        </w:rPr>
      </w:pPr>
      <w:r w:rsidRPr="00D534BD">
        <w:rPr>
          <w:b/>
          <w:sz w:val="32"/>
          <w:szCs w:val="24"/>
          <w:rtl/>
        </w:rPr>
        <w:t>[1] دراسة (Abdulazeez &amp; Chukwudi, 2026):</w:t>
      </w:r>
    </w:p>
    <w:p w14:paraId="2CCDD3F1" w14:textId="77777777" w:rsidR="000D0DFA" w:rsidRPr="00D534BD" w:rsidRDefault="00000000" w:rsidP="00D534BD">
      <w:pPr>
        <w:bidi/>
        <w:rPr>
          <w:rFonts w:hint="eastAsia"/>
          <w:sz w:val="32"/>
          <w:szCs w:val="24"/>
        </w:rPr>
      </w:pPr>
      <w:r w:rsidRPr="00D534BD">
        <w:rPr>
          <w:sz w:val="32"/>
          <w:szCs w:val="24"/>
          <w:rtl/>
        </w:rPr>
        <w:t>قدّم الباحثان نموذجاً لمستودع مؤسسي سحابي مبسط يُدعى InRep Scholar، مُصمم خصيصاً للبيئات محدودة الموارد في الجامعات الرواندية. يعتمد النظام على بنية سحابية مبسطة مع دعم بحث البيانات الوصفية بمساعدة الذكاء الاصطناعي والتحكم بالوصول وفقاً للأدوار (RBAC). أظهرت النتائج تحسناً ملموساً في معدلات رفع الوثائق — من 80% إلى 95% — وانخفاضاً في زمن استجابة البحث.</w:t>
      </w:r>
    </w:p>
    <w:p w14:paraId="6F489A44" w14:textId="77777777" w:rsidR="000D0DFA" w:rsidRPr="00D534BD" w:rsidRDefault="00000000" w:rsidP="00D534BD">
      <w:pPr>
        <w:bidi/>
        <w:rPr>
          <w:rFonts w:hint="eastAsia"/>
          <w:sz w:val="32"/>
          <w:szCs w:val="24"/>
        </w:rPr>
      </w:pPr>
      <w:r w:rsidRPr="00D534BD">
        <w:rPr>
          <w:i/>
          <w:sz w:val="32"/>
          <w:szCs w:val="24"/>
          <w:rtl/>
        </w:rPr>
        <w:t>الفجوة: نظام InRep Scholar مُحسّن للنشر داخل مؤسسة واحدة ويعتمد على التحكم بالوصول على مستوى التطبيق (Application-Layer Access Control) دون عزل عميق في قاعدة البيانات. يتجاوز Secure-FEPRH ذلك ببناء معمارية وطنية متعددة المستأجرين حقيقية، حيث تُطبّق سياسات الأمان على مستوى الصفوف (RLS) مباشرة في طبقة قاعدة البيانات (PostgreSQL)، مما يضمن عزلاً مطلقاً لبيانات كل جامعة حتى في حال وجود ثغرات في الكود البرمجي للتطبيق.</w:t>
      </w:r>
    </w:p>
    <w:p w14:paraId="4F531B1D" w14:textId="77777777" w:rsidR="000D0DFA" w:rsidRPr="00D534BD" w:rsidRDefault="00000000" w:rsidP="00D534BD">
      <w:pPr>
        <w:bidi/>
        <w:rPr>
          <w:rFonts w:hint="eastAsia"/>
          <w:sz w:val="32"/>
          <w:szCs w:val="24"/>
        </w:rPr>
      </w:pPr>
      <w:r w:rsidRPr="00D534BD">
        <w:rPr>
          <w:b/>
          <w:sz w:val="32"/>
          <w:szCs w:val="24"/>
          <w:rtl/>
        </w:rPr>
        <w:t>[2] دراسة (McGeary, 2025):</w:t>
      </w:r>
    </w:p>
    <w:p w14:paraId="4243FD7A" w14:textId="77777777" w:rsidR="000D0DFA" w:rsidRPr="00D534BD" w:rsidRDefault="00000000" w:rsidP="00D534BD">
      <w:pPr>
        <w:bidi/>
        <w:rPr>
          <w:rFonts w:hint="eastAsia"/>
          <w:sz w:val="32"/>
          <w:szCs w:val="24"/>
        </w:rPr>
      </w:pPr>
      <w:r w:rsidRPr="00D534BD">
        <w:rPr>
          <w:sz w:val="32"/>
          <w:szCs w:val="24"/>
          <w:rtl/>
        </w:rPr>
        <w:t>قيّمت هذه الدراسة مستودعاً للموارد التعليمية المفتوحة (OER) يعمل عبر ولاية بنسلفانيا الأمريكية باستخدام منصة Hyku مفتوحة المصدر المبنية على إطار Samvera. يسمح النظام لعدة مكتبات جامعية بتشغيل مستودعات مخصصة ذات علامات تجارية مستقلة على بنية تحتية مشتركة، مع نماذج لتقاسم التكاليف بين المؤسسات المشاركة.</w:t>
      </w:r>
    </w:p>
    <w:p w14:paraId="45601846" w14:textId="77777777" w:rsidR="000D0DFA" w:rsidRPr="00D534BD" w:rsidRDefault="00000000" w:rsidP="00D534BD">
      <w:pPr>
        <w:bidi/>
        <w:rPr>
          <w:rFonts w:hint="eastAsia"/>
          <w:sz w:val="32"/>
          <w:szCs w:val="24"/>
        </w:rPr>
      </w:pPr>
      <w:r w:rsidRPr="00D534BD">
        <w:rPr>
          <w:i/>
          <w:sz w:val="32"/>
          <w:szCs w:val="24"/>
          <w:rtl/>
        </w:rPr>
        <w:t>الفجوة: تعمل منصة Hyku كأرشيف 'ساكن' (Static Archive) يختص بحفظ واكتشاف المواد التعليمية النهائية فقط. يختلف Secure-FEPRH جذرياً بكونه محرك سير عمل 'نشط' (Dynamic Workflow Engine)؛ فهو لا يكتفي بأرشفة المشاريع المنتهية، بل يدير خط الإنتاج المستمر للمشروع عبر لوحات Kanban المدمجة، ومواعيد المناقشة، والمراقبة الآلية بالذكاء الاصطناعي — محوّلاً المستودع من أداة تخزين سلبية إلى بيئة تقييم أكاديمي فعالة.</w:t>
      </w:r>
    </w:p>
    <w:p w14:paraId="128FFEF0" w14:textId="77777777" w:rsidR="000D0DFA" w:rsidRPr="00D534BD" w:rsidRDefault="00000000" w:rsidP="00D534BD">
      <w:pPr>
        <w:bidi/>
        <w:spacing w:before="280"/>
        <w:rPr>
          <w:rFonts w:hint="eastAsia"/>
          <w:sz w:val="36"/>
          <w:szCs w:val="28"/>
        </w:rPr>
      </w:pPr>
      <w:r w:rsidRPr="00D534BD">
        <w:rPr>
          <w:b/>
          <w:color w:val="008080"/>
          <w:sz w:val="40"/>
          <w:szCs w:val="28"/>
          <w:rtl/>
        </w:rPr>
        <w:t>2.2 المجال الثاني: المصادقة البيومترية والأمن السيبراني في التعليم</w:t>
      </w:r>
    </w:p>
    <w:p w14:paraId="3933F7EF" w14:textId="77777777" w:rsidR="000D0DFA" w:rsidRPr="00D534BD" w:rsidRDefault="00000000" w:rsidP="00D534BD">
      <w:pPr>
        <w:bidi/>
        <w:spacing w:before="200" w:after="80"/>
        <w:rPr>
          <w:rFonts w:hint="eastAsia"/>
          <w:sz w:val="32"/>
          <w:szCs w:val="24"/>
        </w:rPr>
      </w:pPr>
      <w:r w:rsidRPr="00D534BD">
        <w:rPr>
          <w:b/>
          <w:color w:val="1B365D"/>
          <w:sz w:val="32"/>
          <w:szCs w:val="24"/>
          <w:rtl/>
        </w:rPr>
        <w:t>الخلفية النظرية</w:t>
      </w:r>
    </w:p>
    <w:p w14:paraId="19BB4EE3" w14:textId="77777777" w:rsidR="000D0DFA" w:rsidRPr="00D534BD" w:rsidRDefault="00000000" w:rsidP="00D534BD">
      <w:pPr>
        <w:bidi/>
        <w:rPr>
          <w:rFonts w:hint="eastAsia"/>
          <w:sz w:val="32"/>
          <w:szCs w:val="24"/>
        </w:rPr>
      </w:pPr>
      <w:r w:rsidRPr="00D534BD">
        <w:rPr>
          <w:sz w:val="32"/>
          <w:szCs w:val="24"/>
          <w:rtl/>
        </w:rPr>
        <w:t>يتطلب تأمين الأنظمة الأكاديمية متعددة المستأجرين استراتيجية دفاع متعددة الطبقات (Defense-in-Depth). على مستوى تخزين البيانات، يُشكّل تعدد المستأجرين خطراً حقيقياً لتسريب البيانات بين الجامعات إذا اقتصر العزل على طبقة التطبيق فقط. لذلك توظف قواعد البيانات المتقدمة آلية الأمان على مستوى الصفوف (RLS) التي تعترض مخطط الاستعلام في أدنى مستوى وتُلحق سياسات تصفية إلزامية بناءً على سياق التنفيذ الحالي. أما على مستوى التحقق من الهوية، فإن كلمات المرور التقليدية عرضة لهجمات التصيد والهندسة الاجتماعية، مما يجعل المصادقة البيومترية مع كشف الحيوية (Liveness Detection) ضرورة أمنية. يميّز كشف الحيوية بين نوعين: النشط (Active) الذي يطلب من المستخدم أداء حركات محددة (كالرمش أو التفات الرأس)، والسلبي (Passive) الذي يحلل العمق المكاني والملمس الدقيق والتدفق الدموي تحت الجلد دون تدخل من المستخدم.</w:t>
      </w:r>
    </w:p>
    <w:p w14:paraId="41CE23BF" w14:textId="77777777" w:rsidR="000D0DFA" w:rsidRPr="00D534BD" w:rsidRDefault="00000000" w:rsidP="00D534BD">
      <w:pPr>
        <w:bidi/>
        <w:spacing w:before="200" w:after="80"/>
        <w:rPr>
          <w:rFonts w:hint="eastAsia"/>
          <w:sz w:val="32"/>
          <w:szCs w:val="24"/>
        </w:rPr>
      </w:pPr>
      <w:r w:rsidRPr="00D534BD">
        <w:rPr>
          <w:b/>
          <w:color w:val="1B365D"/>
          <w:sz w:val="32"/>
          <w:szCs w:val="24"/>
          <w:rtl/>
        </w:rPr>
        <w:t>الدراسة المختارة وتحليل الفجوة</w:t>
      </w:r>
    </w:p>
    <w:p w14:paraId="1C3E2297" w14:textId="77777777" w:rsidR="000D0DFA" w:rsidRPr="00D534BD" w:rsidRDefault="00000000" w:rsidP="00D534BD">
      <w:pPr>
        <w:bidi/>
        <w:rPr>
          <w:rFonts w:hint="eastAsia"/>
          <w:sz w:val="32"/>
          <w:szCs w:val="24"/>
        </w:rPr>
      </w:pPr>
      <w:r w:rsidRPr="00D534BD">
        <w:rPr>
          <w:b/>
          <w:sz w:val="32"/>
          <w:szCs w:val="24"/>
          <w:rtl/>
        </w:rPr>
        <w:t>[3] دراسة (Bermusa &amp; Ricafort, 2026):</w:t>
      </w:r>
    </w:p>
    <w:p w14:paraId="16C1CA48" w14:textId="77777777" w:rsidR="000D0DFA" w:rsidRPr="00D534BD" w:rsidRDefault="00000000" w:rsidP="00D534BD">
      <w:pPr>
        <w:bidi/>
        <w:rPr>
          <w:rFonts w:hint="eastAsia"/>
          <w:sz w:val="32"/>
          <w:szCs w:val="24"/>
        </w:rPr>
      </w:pPr>
      <w:r w:rsidRPr="00D534BD">
        <w:rPr>
          <w:sz w:val="32"/>
          <w:szCs w:val="24"/>
          <w:rtl/>
        </w:rPr>
        <w:lastRenderedPageBreak/>
        <w:t>طوّرت الدراسة إطار مصادقة متعدد العوامل يُدعى FaceLog، يجمع بين شبكات الطي العصبية (CNN) لاستخلاص ملامح الوجه ووحدة كشف حيوية تعتمد على حساب نسبة مظهر العين (Eye Aspect Ratio - EAR) لرصد رمش العين الطبيعي وتمييز المستخدم الحي من محاولات الانتحال الثابتة. بعد التحقق البيومتري الناجح، يفرض النظام طبقة تشفيرية ثانية عبر كلمة مرور لمرة واحدة قائمة على الزمن (TOTP).</w:t>
      </w:r>
    </w:p>
    <w:p w14:paraId="2379F450" w14:textId="77777777" w:rsidR="000D0DFA" w:rsidRPr="00D534BD" w:rsidRDefault="00000000" w:rsidP="00D534BD">
      <w:pPr>
        <w:bidi/>
        <w:rPr>
          <w:rFonts w:hint="eastAsia"/>
          <w:sz w:val="32"/>
          <w:szCs w:val="24"/>
        </w:rPr>
      </w:pPr>
      <w:r w:rsidRPr="00D534BD">
        <w:rPr>
          <w:i/>
          <w:sz w:val="32"/>
          <w:szCs w:val="24"/>
          <w:rtl/>
        </w:rPr>
        <w:t>الفجوة: يعتمد FaceLog على إشارة حيوية نشطة واحدة (رصد الرمش عبر EAR)، مما يجعله عرضة لهجمات التزييف العميق (Deepfakes) ويُزعج المستخدم بالحاجة لأداء حركات متكررة أثناء الاستخدام اليومي. يتفوق Secure-FEPRH بتوظيف كشف حيوية مزدوج (سلبي وإيجابي معاً) يراقب الحركات المتعددة (الالتفات، الإيماء، الرمش) مع تحليل العمق المكاني، مما يوفر مقاومة أقوى بكثير للتحايل مع تقليل الاحتكاك للمستخدمين في البيئات الأكاديمية عالية الضغط. علاوة على ذلك، يدمج نظامنا هذا التحقق البيومتري مباشرة في عمليات الدخول وتسجيل الحضور وبدء جلسات المناقشة — وليس كتطبيق مستقل.</w:t>
      </w:r>
    </w:p>
    <w:p w14:paraId="189E77D5" w14:textId="77777777" w:rsidR="000D0DFA" w:rsidRPr="00D534BD" w:rsidRDefault="00000000" w:rsidP="00D534BD">
      <w:pPr>
        <w:bidi/>
        <w:spacing w:before="280"/>
        <w:rPr>
          <w:rFonts w:hint="eastAsia"/>
          <w:sz w:val="36"/>
          <w:szCs w:val="28"/>
        </w:rPr>
      </w:pPr>
      <w:r w:rsidRPr="00D534BD">
        <w:rPr>
          <w:b/>
          <w:color w:val="008080"/>
          <w:sz w:val="40"/>
          <w:szCs w:val="28"/>
          <w:rtl/>
        </w:rPr>
        <w:t>2.3 المجال الثالث: كشف الانتحال المدعوم بالذكاء الاصطناعي (النصوص العربية والأكواد البرمجية)</w:t>
      </w:r>
    </w:p>
    <w:p w14:paraId="1267E6E5" w14:textId="77777777" w:rsidR="000D0DFA" w:rsidRPr="00D534BD" w:rsidRDefault="00000000" w:rsidP="00D534BD">
      <w:pPr>
        <w:bidi/>
        <w:spacing w:before="200" w:after="80"/>
        <w:rPr>
          <w:rFonts w:hint="eastAsia"/>
          <w:sz w:val="32"/>
          <w:szCs w:val="24"/>
        </w:rPr>
      </w:pPr>
      <w:r w:rsidRPr="00D534BD">
        <w:rPr>
          <w:b/>
          <w:color w:val="1B365D"/>
          <w:sz w:val="32"/>
          <w:szCs w:val="24"/>
          <w:rtl/>
        </w:rPr>
        <w:t>الخلفية النظرية</w:t>
      </w:r>
    </w:p>
    <w:p w14:paraId="3711A1BB" w14:textId="77777777" w:rsidR="000D0DFA" w:rsidRPr="00D534BD" w:rsidRDefault="00000000" w:rsidP="00D534BD">
      <w:pPr>
        <w:bidi/>
        <w:rPr>
          <w:rFonts w:hint="eastAsia"/>
          <w:sz w:val="32"/>
          <w:szCs w:val="24"/>
        </w:rPr>
      </w:pPr>
      <w:r w:rsidRPr="00D534BD">
        <w:rPr>
          <w:sz w:val="32"/>
          <w:szCs w:val="24"/>
          <w:rtl/>
        </w:rPr>
        <w:t>يُعد التحقق من النزاهة الأكاديمية تحدياً تقنياً مزدوجاً. فمن جهة، يتطلب فحص النصوص العربية تقنيات متقدمة بسبب التعقيد الصرفي العالي للغة العربية وكثرة التصريفات والمشتقات واللهجات. تفشل خوارزميات المطابقة المعجمية التقليدية (Bag-of-Words / String Distance) في كشف الانتحال المقنّع عبر إعادة الصياغة واستبدال المرادفات. لذلك توظف الأنظمة الحديثة نماذج المحولات السياقية (Transformers) مثل AraBERT التي تُحوّل الكلمات إلى فضاءات رياضية عالية الأبعاد تلتقط العلاقات الدلالية العميقة. ومن جهة أخرى، يتطلب كشف الانتحال البرمجي نموذجاً تحليلياً مختلفاً تماماً. يتحايل الطلاب على أنظمة الفحص التقليدية (مثل MOSS) بتغيير أسماء المتغيرات وإعادة ترتيب الدوال وتبديل حلقات التكرار. لمواجهة ذلك، تُحلل الأنظمة المتقدمة الكود المصدري إلى أشجار البنية المجردة (AST) التي تُجرّد البنية المنطقية الصافية للبرنامج من كل التنسيق السطحي والتعليقات والأسماء.</w:t>
      </w:r>
    </w:p>
    <w:p w14:paraId="3A7641CD" w14:textId="77777777" w:rsidR="000D0DFA" w:rsidRPr="00D534BD" w:rsidRDefault="00000000" w:rsidP="00D534BD">
      <w:pPr>
        <w:bidi/>
        <w:spacing w:before="200" w:after="80"/>
        <w:rPr>
          <w:rFonts w:hint="eastAsia"/>
          <w:sz w:val="32"/>
          <w:szCs w:val="24"/>
        </w:rPr>
      </w:pPr>
      <w:r w:rsidRPr="00D534BD">
        <w:rPr>
          <w:b/>
          <w:color w:val="1B365D"/>
          <w:sz w:val="32"/>
          <w:szCs w:val="24"/>
          <w:rtl/>
        </w:rPr>
        <w:t>الدراسات المختارة وتحليل الفجوات</w:t>
      </w:r>
    </w:p>
    <w:p w14:paraId="65C71828" w14:textId="77777777" w:rsidR="000D0DFA" w:rsidRPr="00D534BD" w:rsidRDefault="00000000" w:rsidP="00D534BD">
      <w:pPr>
        <w:bidi/>
        <w:rPr>
          <w:rFonts w:hint="eastAsia"/>
          <w:sz w:val="32"/>
          <w:szCs w:val="24"/>
        </w:rPr>
      </w:pPr>
      <w:r w:rsidRPr="00D534BD">
        <w:rPr>
          <w:b/>
          <w:sz w:val="32"/>
          <w:szCs w:val="24"/>
          <w:rtl/>
        </w:rPr>
        <w:t>[4] دراسة (Abdelaal et al., 2025):</w:t>
      </w:r>
    </w:p>
    <w:p w14:paraId="21F6A9B3" w14:textId="77777777" w:rsidR="000D0DFA" w:rsidRPr="00D534BD" w:rsidRDefault="00000000" w:rsidP="00D534BD">
      <w:pPr>
        <w:bidi/>
        <w:rPr>
          <w:rFonts w:hint="eastAsia"/>
          <w:sz w:val="32"/>
          <w:szCs w:val="24"/>
        </w:rPr>
      </w:pPr>
      <w:r w:rsidRPr="00D534BD">
        <w:rPr>
          <w:sz w:val="32"/>
          <w:szCs w:val="24"/>
          <w:rtl/>
        </w:rPr>
        <w:t>طرحت الدراسة إطار عمل متقدم لكشف الانتحال في النصوص العربية الطويلة عبر دمج الشبكات العصبية السيامية (SNN) مع نماذج المحولات (AraT5 و Longformer). صُمم النظام خصيصاً للتعامل مع متتاليات الوثائق الطويلة — وهي سمة شائعة في الرسائل الأكاديمية — واستخدم دوال خسارة موزونة (Weighted Cross-Entropy و Dice Loss) لمعالجة عدم التوازن في مجموعات بيانات الانتحال العربية. حقق النموذج درجة F1-score بلغت 0.9058 في اكتشاف التغييرات الدلالية المعقدة والانتحال عبر الترجمة بين اللغات.</w:t>
      </w:r>
    </w:p>
    <w:p w14:paraId="0ED8F27A" w14:textId="77777777" w:rsidR="000D0DFA" w:rsidRPr="00D534BD" w:rsidRDefault="00000000" w:rsidP="00D534BD">
      <w:pPr>
        <w:bidi/>
        <w:rPr>
          <w:rFonts w:hint="eastAsia"/>
          <w:sz w:val="32"/>
          <w:szCs w:val="24"/>
        </w:rPr>
      </w:pPr>
      <w:r w:rsidRPr="00D534BD">
        <w:rPr>
          <w:i/>
          <w:sz w:val="32"/>
          <w:szCs w:val="24"/>
          <w:rtl/>
        </w:rPr>
        <w:t>الفجوة: يتفوق هذا النظام في تحليل اللغات الطبيعية لكنه محصور تماماً في النصوص. في مشاريع التخرج الحقيقية، تحتوي التسليمات على نصوص نظرية عربية وأكواد برمجية معاً. يسد Secure-FEPRH هذه الفجوة ببنية هجينة ثنائية المحرك (Dual-Engine) توزع الوثائق النصية العربية تلقائياً إلى محرك AraBERT/TF-IDF، بينما تُوجَّه الملفات البرمجية في اللحظة ذاتها إلى محرك تحليل AST المخصص، ثم تُدمج النتائج في ملف انتحال شامل ومتعدد الأبعاد.</w:t>
      </w:r>
    </w:p>
    <w:p w14:paraId="33DAD982" w14:textId="77777777" w:rsidR="000D0DFA" w:rsidRPr="00D534BD" w:rsidRDefault="00000000" w:rsidP="00D534BD">
      <w:pPr>
        <w:bidi/>
        <w:rPr>
          <w:rFonts w:hint="eastAsia"/>
          <w:sz w:val="32"/>
          <w:szCs w:val="24"/>
        </w:rPr>
      </w:pPr>
      <w:r w:rsidRPr="00D534BD">
        <w:rPr>
          <w:b/>
          <w:sz w:val="32"/>
          <w:szCs w:val="24"/>
          <w:rtl/>
        </w:rPr>
        <w:t>[5] دراسة (Abo-Elghit et al., 2022):</w:t>
      </w:r>
    </w:p>
    <w:p w14:paraId="6DD729FD" w14:textId="77777777" w:rsidR="000D0DFA" w:rsidRPr="00D534BD" w:rsidRDefault="00000000" w:rsidP="00D534BD">
      <w:pPr>
        <w:bidi/>
        <w:rPr>
          <w:rFonts w:hint="eastAsia"/>
          <w:sz w:val="32"/>
          <w:szCs w:val="24"/>
        </w:rPr>
      </w:pPr>
      <w:r w:rsidRPr="00D534BD">
        <w:rPr>
          <w:sz w:val="32"/>
          <w:szCs w:val="24"/>
          <w:rtl/>
        </w:rPr>
        <w:lastRenderedPageBreak/>
        <w:t>استكشفت الدراسة استخلاص التمثيلات المتجهية (Embeddings) للنصوص العربية باستخدام نموذج AraBERT بالتكامل مع (TF-IDF) وأساليب تمثيل متجهي أخرى. أثبت الباحثون تجريبياً أن ضبط AraBERT المسبق (Fine-tuning) لمهام التشابه الدلالي النصي يحقق نتائج متفوقة بشكل واضح في التنبؤ بدرجات الارتباط والتشابه بين وحدات النص العربي، مقارنةً بالأساليب الإحصائية التقليدية القائمة على التردد.</w:t>
      </w:r>
    </w:p>
    <w:p w14:paraId="7272BFF9" w14:textId="77777777" w:rsidR="000D0DFA" w:rsidRPr="00D534BD" w:rsidRDefault="00000000" w:rsidP="00D534BD">
      <w:pPr>
        <w:bidi/>
        <w:rPr>
          <w:rFonts w:hint="eastAsia"/>
          <w:sz w:val="32"/>
          <w:szCs w:val="24"/>
        </w:rPr>
      </w:pPr>
      <w:r w:rsidRPr="00D534BD">
        <w:rPr>
          <w:i/>
          <w:sz w:val="32"/>
          <w:szCs w:val="24"/>
          <w:rtl/>
        </w:rPr>
        <w:t>الفجوة: كالدراسة السابقة، يقتصر التحليل على اللغويات العربية دون التطرق للأكواد. يضيف Secure-FEPRH بُعداً جديداً بتجميع درجات التشابه الدلالي من AraBERT مع درجات التشابه الهيكلي من تحليل AST للأكواد، لتوليد ملف مخاطر انتحال شامل ومتعدد الأبعاد (Multidimensional Plagiarism Risk Profile) لكل مشروع هندسي.</w:t>
      </w:r>
    </w:p>
    <w:p w14:paraId="373BB768" w14:textId="77777777" w:rsidR="000D0DFA" w:rsidRPr="00D534BD" w:rsidRDefault="00000000" w:rsidP="00D534BD">
      <w:pPr>
        <w:bidi/>
        <w:rPr>
          <w:rFonts w:hint="eastAsia"/>
          <w:sz w:val="32"/>
          <w:szCs w:val="24"/>
        </w:rPr>
      </w:pPr>
      <w:r w:rsidRPr="00D534BD">
        <w:rPr>
          <w:b/>
          <w:sz w:val="32"/>
          <w:szCs w:val="24"/>
          <w:rtl/>
        </w:rPr>
        <w:t>[6] دراسة (Hasibuan, 2026):</w:t>
      </w:r>
    </w:p>
    <w:p w14:paraId="08F7E5AE" w14:textId="77777777" w:rsidR="000D0DFA" w:rsidRPr="00D534BD" w:rsidRDefault="00000000" w:rsidP="00D534BD">
      <w:pPr>
        <w:bidi/>
        <w:rPr>
          <w:rFonts w:hint="eastAsia"/>
          <w:sz w:val="32"/>
          <w:szCs w:val="24"/>
        </w:rPr>
      </w:pPr>
      <w:r w:rsidRPr="00D534BD">
        <w:rPr>
          <w:sz w:val="32"/>
          <w:szCs w:val="24"/>
          <w:rtl/>
        </w:rPr>
        <w:t>تناولت كشف الانتحال البرمجي باستخدام أشجار البنية المجردة (AST) المدمجة مع الشبكات العصبية الرسومية (GNNs). قام الباحث بتحويل أكواد Python المصدرية إلى أشجار AST ثم إلى رسوم بيانية علائقية (Relational Graphs)، ومعالجتها عبر شبكة سيامية قائمة على GNN لتوليد تمثيلات عميقة. حقق النموذج دقة استثنائية بلغت 0.9946، متفوقاً بشكل كبير على طرق TF-IDF وتشابه الجيب تمام (Cosine Similarity) التي تفشل أمام تغيير أسماء المتغيرات وإعادة الهيكلة.</w:t>
      </w:r>
    </w:p>
    <w:p w14:paraId="2932EFF9" w14:textId="77777777" w:rsidR="000D0DFA" w:rsidRPr="00D534BD" w:rsidRDefault="00000000" w:rsidP="00D534BD">
      <w:pPr>
        <w:bidi/>
        <w:rPr>
          <w:rFonts w:hint="eastAsia"/>
          <w:sz w:val="32"/>
          <w:szCs w:val="24"/>
        </w:rPr>
      </w:pPr>
      <w:r w:rsidRPr="00D534BD">
        <w:rPr>
          <w:i/>
          <w:sz w:val="32"/>
          <w:szCs w:val="24"/>
          <w:rtl/>
        </w:rPr>
        <w:t>الفجوة: تعمل أنظمة تحليل AST هذه بشكل منعزل عن سير العمل الأكاديمي وتتطلب حمل حسابي ضخم لمقارنة الرسوم البيانية بشكل متزامن. يحل Secure-FEPRH هذه المشكلة بتنفيذ تحليل AST ضمن خط أنابيب معالجة موزع وغير متزامن (Asynchronous Distributed Pipeline) مرتبط مباشرة بلوحة Kanban. عند تسليم الطالب لكود عبر نقل المهمة إلى عمود 'جاهز للمراجعة'، يعمل محرك AST تلقائياً في الخلفية ويُدمج نتائجه مع نتائج فحص NLP لتظهر في لوحة المشرف فوراً.</w:t>
      </w:r>
    </w:p>
    <w:p w14:paraId="222CD9EF" w14:textId="77777777" w:rsidR="000D0DFA" w:rsidRPr="00D534BD" w:rsidRDefault="00000000" w:rsidP="00D534BD">
      <w:pPr>
        <w:bidi/>
        <w:spacing w:before="280"/>
        <w:rPr>
          <w:rFonts w:hint="eastAsia"/>
          <w:sz w:val="36"/>
          <w:szCs w:val="28"/>
        </w:rPr>
      </w:pPr>
      <w:r w:rsidRPr="00D534BD">
        <w:rPr>
          <w:b/>
          <w:color w:val="008080"/>
          <w:sz w:val="40"/>
          <w:szCs w:val="28"/>
          <w:rtl/>
        </w:rPr>
        <w:t>2.4 المجال الرابع: الرؤية الحاسوبية للحضور الذكي في المناقشات الأكاديمية</w:t>
      </w:r>
    </w:p>
    <w:p w14:paraId="2DB15B53" w14:textId="77777777" w:rsidR="000D0DFA" w:rsidRPr="00D534BD" w:rsidRDefault="00000000" w:rsidP="00D534BD">
      <w:pPr>
        <w:bidi/>
        <w:spacing w:before="200" w:after="80"/>
        <w:rPr>
          <w:rFonts w:hint="eastAsia"/>
          <w:sz w:val="32"/>
          <w:szCs w:val="24"/>
        </w:rPr>
      </w:pPr>
      <w:r w:rsidRPr="00D534BD">
        <w:rPr>
          <w:b/>
          <w:color w:val="1B365D"/>
          <w:sz w:val="32"/>
          <w:szCs w:val="24"/>
          <w:rtl/>
        </w:rPr>
        <w:t>الخلفية النظرية</w:t>
      </w:r>
    </w:p>
    <w:p w14:paraId="08094D28" w14:textId="77777777" w:rsidR="000D0DFA" w:rsidRPr="00D534BD" w:rsidRDefault="00000000" w:rsidP="00D534BD">
      <w:pPr>
        <w:bidi/>
        <w:rPr>
          <w:rFonts w:hint="eastAsia"/>
          <w:sz w:val="32"/>
          <w:szCs w:val="24"/>
        </w:rPr>
      </w:pPr>
      <w:r w:rsidRPr="00D534BD">
        <w:rPr>
          <w:sz w:val="32"/>
          <w:szCs w:val="24"/>
          <w:rtl/>
        </w:rPr>
        <w:t>تتطلب جلسات المناقشة النهائية (Defense Sessions)، حيث يقدم الطلاب مشاريع تخرجهم أمام لجان التحكيم، تحققاً صارماً وغير قابل للإنكار من الهوية وتسجيل حضور دقيق لضمان الامتثال الكامل لبروتوكولات التقييم الجامعي. أنظمة الحضور التقليدية (النداء اليدوي أو بطاقات RFID) عرضة للأخطاء البشرية والحضور بالوكالة (Buddy Punching). توظف أنظمة الحضور الذكي خطوط أنابيب رؤية حاسوبية متعددة المراحل تشمل: الكشف (Detection)، والمحاذاة (Alignment)، واستخلاص الملامح (Feature Extraction)، والتصنيف (Classification). تستخدم أُطر حديثة مثل MTCNN أو MediaPipe لكشف الوجوه في بثّ فيديو مباشر، بينما تُولّد مكتبات مثل dlib أو FaceNet 'بصمة وجه' رقمية (Faceprint) — متجه رياضي عالي الأبعاد — تُقارَن بقاعدة بيانات مسجلة مسبقاً باستخدام مقاييس المسافة الإقليدية أو تشابه الجيب تمام.</w:t>
      </w:r>
    </w:p>
    <w:p w14:paraId="67E1AE60" w14:textId="77777777" w:rsidR="000D0DFA" w:rsidRPr="00D534BD" w:rsidRDefault="00000000" w:rsidP="00D534BD">
      <w:pPr>
        <w:bidi/>
        <w:spacing w:before="200" w:after="80"/>
        <w:rPr>
          <w:rFonts w:hint="eastAsia"/>
          <w:sz w:val="32"/>
          <w:szCs w:val="24"/>
        </w:rPr>
      </w:pPr>
      <w:r w:rsidRPr="00D534BD">
        <w:rPr>
          <w:b/>
          <w:color w:val="1B365D"/>
          <w:sz w:val="32"/>
          <w:szCs w:val="24"/>
          <w:rtl/>
        </w:rPr>
        <w:t>الدراسة المختارة وتحليل الفجوة</w:t>
      </w:r>
    </w:p>
    <w:p w14:paraId="57EB9794" w14:textId="77777777" w:rsidR="000D0DFA" w:rsidRPr="00D534BD" w:rsidRDefault="00000000" w:rsidP="00D534BD">
      <w:pPr>
        <w:bidi/>
        <w:rPr>
          <w:rFonts w:hint="eastAsia"/>
          <w:sz w:val="32"/>
          <w:szCs w:val="24"/>
        </w:rPr>
      </w:pPr>
      <w:r w:rsidRPr="00D534BD">
        <w:rPr>
          <w:b/>
          <w:sz w:val="32"/>
          <w:szCs w:val="24"/>
          <w:rtl/>
        </w:rPr>
        <w:t>[7] دراسة (Alfaro-Velasco et al., 2024):</w:t>
      </w:r>
    </w:p>
    <w:p w14:paraId="0422E887" w14:textId="77777777" w:rsidR="000D0DFA" w:rsidRPr="00D534BD" w:rsidRDefault="00000000" w:rsidP="00D534BD">
      <w:pPr>
        <w:bidi/>
        <w:rPr>
          <w:rFonts w:hint="eastAsia"/>
          <w:sz w:val="32"/>
          <w:szCs w:val="24"/>
        </w:rPr>
      </w:pPr>
      <w:r w:rsidRPr="00D534BD">
        <w:rPr>
          <w:sz w:val="32"/>
          <w:szCs w:val="24"/>
          <w:rtl/>
        </w:rPr>
        <w:t xml:space="preserve">قدّمت الدراسة نظاماً مدمجاً يعتمد على التعلم الآلي لأتمتة تسجيل الحضور في الفصول الدراسية بطريقة غير تدخلية. قيّم الباحثون عدة نماذج متقدمة تشمل MTCNN وRetinaFace وMediaPipe وYOLO-Face بالتكامل مع مكتبة </w:t>
      </w:r>
      <w:r w:rsidRPr="00D534BD">
        <w:rPr>
          <w:sz w:val="32"/>
          <w:szCs w:val="24"/>
          <w:rtl/>
        </w:rPr>
        <w:lastRenderedPageBreak/>
        <w:t>dlib، لتحديد هويات الطلاب ديناميكياً في بيئة فصل دراسي حقيقية. أثبتت النتائج تجريبياً أن خوارزميات التعلم العميق قادرة على التعامل مع حجم وتنوع بيئات الجامعات، مع تخفيض كبير للأعباء الإدارية وتحسين موثوقية سجلات الحضور إحصائياً.</w:t>
      </w:r>
    </w:p>
    <w:p w14:paraId="4A3F3BC3" w14:textId="77777777" w:rsidR="000D0DFA" w:rsidRPr="00D534BD" w:rsidRDefault="00000000" w:rsidP="00D534BD">
      <w:pPr>
        <w:bidi/>
        <w:rPr>
          <w:rFonts w:hint="eastAsia"/>
          <w:sz w:val="32"/>
          <w:szCs w:val="24"/>
        </w:rPr>
      </w:pPr>
      <w:r w:rsidRPr="00D534BD">
        <w:rPr>
          <w:i/>
          <w:sz w:val="32"/>
          <w:szCs w:val="24"/>
          <w:rtl/>
        </w:rPr>
        <w:t>الفجوة: صُمم هذا النظام للحضور الروتيني للمحاضرات اليومية وركّز على دقة التعرّف دون تضمين كشف هجمات العرض (Presentation Attacks). يُعيد Secure-FEPRH تأطير الحضور البيومتري ليخدم تحديداً جلسات المناقشة النهائية عالية المخاطر (High-Stakes Defenses). في نظامنا، يعمل التوثيق البيومتري بكشف الحيوية كـ'مفتاح تشفيري' يفتح لوحات التقييم (Grading Rubrics) لأعضاء لجنة التحكيم — مما يمنع أي تقييم خارج الجلسة الرسمية الموثقة بيومترياً. هذا الدمج العميق يحوّل التعرف على الوجه من أداة تسجيل وقت بسيطة إلى بوابة أمنية مؤتمتة للاعتماد الأكاديمي.</w:t>
      </w:r>
    </w:p>
    <w:p w14:paraId="76E494EF" w14:textId="77777777" w:rsidR="000D0DFA" w:rsidRPr="00D534BD" w:rsidRDefault="00000000" w:rsidP="00D534BD">
      <w:pPr>
        <w:bidi/>
        <w:spacing w:before="280"/>
        <w:rPr>
          <w:rFonts w:hint="eastAsia"/>
          <w:sz w:val="36"/>
          <w:szCs w:val="28"/>
        </w:rPr>
      </w:pPr>
      <w:r w:rsidRPr="00D534BD">
        <w:rPr>
          <w:b/>
          <w:color w:val="008080"/>
          <w:sz w:val="40"/>
          <w:szCs w:val="28"/>
          <w:rtl/>
        </w:rPr>
        <w:t>2.5 المجال الخامس: دمج سير العمل الرشيق (Agile Kanban) في التقييم الأكاديمي</w:t>
      </w:r>
    </w:p>
    <w:p w14:paraId="3A3280A6" w14:textId="77777777" w:rsidR="000D0DFA" w:rsidRPr="00D534BD" w:rsidRDefault="00000000" w:rsidP="00D534BD">
      <w:pPr>
        <w:bidi/>
        <w:spacing w:before="200" w:after="80"/>
        <w:rPr>
          <w:rFonts w:hint="eastAsia"/>
          <w:sz w:val="32"/>
          <w:szCs w:val="24"/>
        </w:rPr>
      </w:pPr>
      <w:r w:rsidRPr="00D534BD">
        <w:rPr>
          <w:b/>
          <w:color w:val="1B365D"/>
          <w:sz w:val="32"/>
          <w:szCs w:val="24"/>
          <w:rtl/>
        </w:rPr>
        <w:t>الخلفية النظرية</w:t>
      </w:r>
    </w:p>
    <w:p w14:paraId="3E7E2277" w14:textId="77777777" w:rsidR="000D0DFA" w:rsidRPr="00D534BD" w:rsidRDefault="00000000" w:rsidP="00D534BD">
      <w:pPr>
        <w:bidi/>
        <w:rPr>
          <w:rFonts w:hint="eastAsia"/>
          <w:sz w:val="32"/>
          <w:szCs w:val="24"/>
        </w:rPr>
      </w:pPr>
      <w:r w:rsidRPr="00D534BD">
        <w:rPr>
          <w:sz w:val="32"/>
          <w:szCs w:val="24"/>
          <w:rtl/>
        </w:rPr>
        <w:t>اتبع الإشراف على مشاريع التخرج تقليدياً منهجية الشلال (Waterfall) المتسلسلة، التي تتميز بمراحل جامدة ومواعيد نهائية كبيرة وغياب الشفافية خلال مراحل البحث والتطوير الطويلة. يؤدي هذا النهج غالباً إلى ظاهرة 'متلازمة الطالب' (Student Syndrome)، حيث يتراكم العمل بانتظار اللحظة الأخيرة. لتحديث الإشراف الأكاديمي ومواءمته مع معايير الصناعة، تتجه المؤسسات التعليمية نحو تبني المنهجيات الرشيقة (Agile) — وتحديداً إطار Kanban. يركز Kanban على التسليم المستمر والمرونة العالية والعرض المرئي الشفاف لسير العمل عبر أعمدة تمثل مراحل الإنجاز (Backlog ← In Progress ← Review ← Done). يتيح هذا للمشرفين والطلاب تجزئة المشاريع الضخمة إلى مهام صغيرة قابلة للإدارة، مع رؤية فورية للعقبات والتأخيرات.</w:t>
      </w:r>
    </w:p>
    <w:p w14:paraId="07FD17FC" w14:textId="77777777" w:rsidR="000D0DFA" w:rsidRPr="00D534BD" w:rsidRDefault="00000000" w:rsidP="00D534BD">
      <w:pPr>
        <w:bidi/>
        <w:spacing w:before="200" w:after="80"/>
        <w:rPr>
          <w:rFonts w:hint="eastAsia"/>
          <w:sz w:val="32"/>
          <w:szCs w:val="24"/>
        </w:rPr>
      </w:pPr>
      <w:r w:rsidRPr="00D534BD">
        <w:rPr>
          <w:b/>
          <w:color w:val="1B365D"/>
          <w:sz w:val="32"/>
          <w:szCs w:val="24"/>
          <w:rtl/>
        </w:rPr>
        <w:t>الدراسة المختارة وتحليل الفجوة</w:t>
      </w:r>
    </w:p>
    <w:p w14:paraId="138DCF7A" w14:textId="77777777" w:rsidR="000D0DFA" w:rsidRPr="00D534BD" w:rsidRDefault="00000000" w:rsidP="00D534BD">
      <w:pPr>
        <w:bidi/>
        <w:rPr>
          <w:rFonts w:hint="eastAsia"/>
          <w:sz w:val="32"/>
          <w:szCs w:val="24"/>
        </w:rPr>
      </w:pPr>
      <w:r w:rsidRPr="00D534BD">
        <w:rPr>
          <w:b/>
          <w:sz w:val="32"/>
          <w:szCs w:val="24"/>
          <w:rtl/>
        </w:rPr>
        <w:t>[8] دراسة (Strickroth et al., 2022):</w:t>
      </w:r>
    </w:p>
    <w:p w14:paraId="425D4640" w14:textId="77777777" w:rsidR="000D0DFA" w:rsidRPr="00D534BD" w:rsidRDefault="00000000" w:rsidP="00D534BD">
      <w:pPr>
        <w:bidi/>
        <w:rPr>
          <w:rFonts w:hint="eastAsia"/>
          <w:sz w:val="32"/>
          <w:szCs w:val="24"/>
        </w:rPr>
      </w:pPr>
      <w:r w:rsidRPr="00D534BD">
        <w:rPr>
          <w:sz w:val="32"/>
          <w:szCs w:val="24"/>
          <w:rtl/>
        </w:rPr>
        <w:t>قدّمت الدراسة منهجية تدريس تعتمد بالكامل على لوحات Kanban لنقل مبادئ تطوير البرمجيات الرشيقة (Agile) إلى بيئة الفصل الدراسي. طوّر الباحثون نموذجاً أولياً رقمياً يسمح للمشرفين بإعداد سيناريوهات Agile تعليمية ومتابعة حالة عمل الطلاب بصرياً وفورياً. أثبتت الدراسة أن ترتيبات التعلم القائمة على المهام عبر Kanban توفر فرصاً ممتازة للتعلم الذاتي وتمنح المشرفين رؤية حاسمة وفورية لحالة المشروع لتسهيل التوجيه الفعّال.</w:t>
      </w:r>
    </w:p>
    <w:p w14:paraId="0F5CD14E" w14:textId="77777777" w:rsidR="000D0DFA" w:rsidRDefault="00000000" w:rsidP="00D534BD">
      <w:pPr>
        <w:bidi/>
        <w:rPr>
          <w:i/>
          <w:sz w:val="32"/>
          <w:szCs w:val="24"/>
        </w:rPr>
      </w:pPr>
      <w:r w:rsidRPr="00D534BD">
        <w:rPr>
          <w:i/>
          <w:sz w:val="32"/>
          <w:szCs w:val="24"/>
          <w:rtl/>
        </w:rPr>
        <w:t>الفجوة: الأداة الرقمية المطوّرة في الدراسة مصممة كوسيلة تعليمية مستقلة (Standalone Pedagogical Aid) لا ترتبط بأي مستودع أكاديمي أو نظام فحص. كما أن الاعتماد على أدوات Agile التجارية الخارجية (مثل Jira أو Trello) يخلق فجوة انفصال أمني وتنظيمي — إذ تخضع بيانات الطلاب لسياسات خصوصية شركات أجنبية ويُجبر الطلاب على التنقل بين بيئات متعددة (IDE، معالج نصوص، أداة إدارة). يلغي Secure-FEPRH هذا الانفصال تماماً من خلال بناء لوحات Kanban أصلية ومدمجة (Native) داخل المنصة الآمنة. والأهم من ذلك أن العملية مؤتمتة: عند سحب الطالب لملف كود من عمود 'قيد التنفيذ' إلى عمود 'جاهز للمراجعة'، يقوم النظام تلقائياً وغير متزامن بتشفير الملف (AES-256)، وتشغيل فحص الانتحال بمحرك AST ومحرك NLP في الخلفية، وتحديث لوحة المشرف فوراً بمؤشرات المخاطر — مما يحقق اندماجاً غير مسبوق بين إدارة المشاريع والتقييم الأكاديمي العميق في بيئة واحدة مشفّرة وآمنة.</w:t>
      </w:r>
    </w:p>
    <w:p w14:paraId="2BB0BCF6" w14:textId="77777777" w:rsidR="00D534BD" w:rsidRDefault="00D534BD" w:rsidP="00D534BD">
      <w:pPr>
        <w:bidi/>
        <w:rPr>
          <w:i/>
          <w:sz w:val="32"/>
          <w:szCs w:val="24"/>
        </w:rPr>
      </w:pPr>
    </w:p>
    <w:p w14:paraId="6562ED86" w14:textId="77777777" w:rsidR="00D534BD" w:rsidRPr="00D534BD" w:rsidRDefault="00D534BD" w:rsidP="00D534BD">
      <w:pPr>
        <w:bidi/>
        <w:rPr>
          <w:rFonts w:hint="eastAsia"/>
          <w:sz w:val="32"/>
          <w:szCs w:val="24"/>
        </w:rPr>
      </w:pPr>
    </w:p>
    <w:p w14:paraId="76D65ED2" w14:textId="77777777" w:rsidR="000D0DFA" w:rsidRPr="00D534BD" w:rsidRDefault="00000000" w:rsidP="00D534BD">
      <w:pPr>
        <w:bidi/>
        <w:spacing w:before="280"/>
        <w:rPr>
          <w:rFonts w:hint="eastAsia"/>
          <w:sz w:val="36"/>
          <w:szCs w:val="28"/>
        </w:rPr>
      </w:pPr>
      <w:r w:rsidRPr="00D534BD">
        <w:rPr>
          <w:b/>
          <w:color w:val="008080"/>
          <w:sz w:val="40"/>
          <w:szCs w:val="28"/>
          <w:rtl/>
        </w:rPr>
        <w:lastRenderedPageBreak/>
        <w:t>ملخص الفجوات وإسهامات Secure-FEPRH</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120"/>
        <w:gridCol w:w="3120"/>
        <w:gridCol w:w="3120"/>
      </w:tblGrid>
      <w:tr w:rsidR="000D0DFA" w:rsidRPr="00D534BD" w14:paraId="2793B468" w14:textId="77777777">
        <w:trPr>
          <w:jc w:val="center"/>
        </w:trPr>
        <w:tc>
          <w:tcPr>
            <w:tcW w:w="3120" w:type="dxa"/>
            <w:shd w:val="clear" w:color="auto" w:fill="1B365D"/>
          </w:tcPr>
          <w:p w14:paraId="1900950E" w14:textId="77777777" w:rsidR="000D0DFA" w:rsidRPr="00D534BD" w:rsidRDefault="00000000" w:rsidP="00D534BD">
            <w:pPr>
              <w:bidi/>
              <w:rPr>
                <w:rFonts w:hint="eastAsia"/>
                <w:sz w:val="32"/>
                <w:szCs w:val="24"/>
              </w:rPr>
            </w:pPr>
            <w:r w:rsidRPr="00D534BD">
              <w:rPr>
                <w:b/>
                <w:color w:val="FFFFFF"/>
                <w:szCs w:val="24"/>
              </w:rPr>
              <w:t>المجال</w:t>
            </w:r>
          </w:p>
        </w:tc>
        <w:tc>
          <w:tcPr>
            <w:tcW w:w="3120" w:type="dxa"/>
            <w:shd w:val="clear" w:color="auto" w:fill="1B365D"/>
          </w:tcPr>
          <w:p w14:paraId="4662E9D1" w14:textId="77777777" w:rsidR="000D0DFA" w:rsidRPr="00D534BD" w:rsidRDefault="00000000" w:rsidP="00D534BD">
            <w:pPr>
              <w:bidi/>
              <w:rPr>
                <w:rFonts w:hint="eastAsia"/>
                <w:sz w:val="32"/>
                <w:szCs w:val="24"/>
              </w:rPr>
            </w:pPr>
            <w:r w:rsidRPr="00D534BD">
              <w:rPr>
                <w:b/>
                <w:color w:val="FFFFFF"/>
                <w:szCs w:val="24"/>
              </w:rPr>
              <w:t>الفجوة الرئيسية في الأدبيات</w:t>
            </w:r>
          </w:p>
        </w:tc>
        <w:tc>
          <w:tcPr>
            <w:tcW w:w="3120" w:type="dxa"/>
            <w:shd w:val="clear" w:color="auto" w:fill="1B365D"/>
          </w:tcPr>
          <w:p w14:paraId="5BB0C573" w14:textId="77777777" w:rsidR="000D0DFA" w:rsidRPr="00D534BD" w:rsidRDefault="00000000" w:rsidP="00D534BD">
            <w:pPr>
              <w:bidi/>
              <w:rPr>
                <w:rFonts w:hint="eastAsia"/>
                <w:sz w:val="32"/>
                <w:szCs w:val="24"/>
              </w:rPr>
            </w:pPr>
            <w:r w:rsidRPr="00D534BD">
              <w:rPr>
                <w:b/>
                <w:color w:val="FFFFFF"/>
                <w:szCs w:val="24"/>
              </w:rPr>
              <w:t>إسهام Secure-FEPRH</w:t>
            </w:r>
          </w:p>
        </w:tc>
      </w:tr>
      <w:tr w:rsidR="000D0DFA" w:rsidRPr="00D534BD" w14:paraId="0E43B397" w14:textId="77777777">
        <w:trPr>
          <w:jc w:val="center"/>
        </w:trPr>
        <w:tc>
          <w:tcPr>
            <w:tcW w:w="3120" w:type="dxa"/>
          </w:tcPr>
          <w:p w14:paraId="687CB546" w14:textId="77777777" w:rsidR="000D0DFA" w:rsidRPr="00D534BD" w:rsidRDefault="00000000" w:rsidP="00D534BD">
            <w:pPr>
              <w:bidi/>
              <w:rPr>
                <w:rFonts w:hint="eastAsia"/>
                <w:sz w:val="32"/>
                <w:szCs w:val="24"/>
              </w:rPr>
            </w:pPr>
            <w:r w:rsidRPr="00D534BD">
              <w:rPr>
                <w:szCs w:val="24"/>
              </w:rPr>
              <w:t>المستودعات السحابية</w:t>
            </w:r>
          </w:p>
        </w:tc>
        <w:tc>
          <w:tcPr>
            <w:tcW w:w="3120" w:type="dxa"/>
          </w:tcPr>
          <w:p w14:paraId="134320D0" w14:textId="77777777" w:rsidR="000D0DFA" w:rsidRPr="00D534BD" w:rsidRDefault="00000000" w:rsidP="00D534BD">
            <w:pPr>
              <w:bidi/>
              <w:rPr>
                <w:rFonts w:hint="eastAsia"/>
                <w:sz w:val="32"/>
                <w:szCs w:val="24"/>
              </w:rPr>
            </w:pPr>
            <w:r w:rsidRPr="00D534BD">
              <w:rPr>
                <w:szCs w:val="24"/>
              </w:rPr>
              <w:t>أنظمة مؤسسية محلية أو أرشيفات ساكنة</w:t>
            </w:r>
          </w:p>
        </w:tc>
        <w:tc>
          <w:tcPr>
            <w:tcW w:w="3120" w:type="dxa"/>
          </w:tcPr>
          <w:p w14:paraId="114E9200" w14:textId="77777777" w:rsidR="000D0DFA" w:rsidRPr="00D534BD" w:rsidRDefault="00000000" w:rsidP="00D534BD">
            <w:pPr>
              <w:bidi/>
              <w:rPr>
                <w:rFonts w:hint="eastAsia"/>
                <w:sz w:val="32"/>
                <w:szCs w:val="24"/>
              </w:rPr>
            </w:pPr>
            <w:r w:rsidRPr="00D534BD">
              <w:rPr>
                <w:szCs w:val="24"/>
              </w:rPr>
              <w:t>بنية وطنية متعددة المستأجرين مع عزل RLS ومحرك سير عمل نشط</w:t>
            </w:r>
          </w:p>
        </w:tc>
      </w:tr>
      <w:tr w:rsidR="000D0DFA" w:rsidRPr="00D534BD" w14:paraId="782F0897" w14:textId="77777777">
        <w:trPr>
          <w:jc w:val="center"/>
        </w:trPr>
        <w:tc>
          <w:tcPr>
            <w:tcW w:w="3120" w:type="dxa"/>
            <w:shd w:val="clear" w:color="auto" w:fill="F0F4F8"/>
          </w:tcPr>
          <w:p w14:paraId="564D5410" w14:textId="77777777" w:rsidR="000D0DFA" w:rsidRPr="00D534BD" w:rsidRDefault="00000000" w:rsidP="00D534BD">
            <w:pPr>
              <w:bidi/>
              <w:rPr>
                <w:rFonts w:hint="eastAsia"/>
                <w:sz w:val="32"/>
                <w:szCs w:val="24"/>
              </w:rPr>
            </w:pPr>
            <w:r w:rsidRPr="00D534BD">
              <w:rPr>
                <w:szCs w:val="24"/>
              </w:rPr>
              <w:t>المصادقة البيومترية</w:t>
            </w:r>
          </w:p>
        </w:tc>
        <w:tc>
          <w:tcPr>
            <w:tcW w:w="3120" w:type="dxa"/>
            <w:shd w:val="clear" w:color="auto" w:fill="F0F4F8"/>
          </w:tcPr>
          <w:p w14:paraId="6F9ECA18" w14:textId="77777777" w:rsidR="000D0DFA" w:rsidRPr="00D534BD" w:rsidRDefault="00000000" w:rsidP="00D534BD">
            <w:pPr>
              <w:bidi/>
              <w:rPr>
                <w:rFonts w:hint="eastAsia"/>
                <w:sz w:val="32"/>
                <w:szCs w:val="24"/>
              </w:rPr>
            </w:pPr>
            <w:r w:rsidRPr="00D534BD">
              <w:rPr>
                <w:szCs w:val="24"/>
              </w:rPr>
              <w:t>كشف حيوية بإشارة واحدة (رمش) وتطبيقات منعزلة</w:t>
            </w:r>
          </w:p>
        </w:tc>
        <w:tc>
          <w:tcPr>
            <w:tcW w:w="3120" w:type="dxa"/>
            <w:shd w:val="clear" w:color="auto" w:fill="F0F4F8"/>
          </w:tcPr>
          <w:p w14:paraId="39BBE438" w14:textId="77777777" w:rsidR="000D0DFA" w:rsidRPr="00D534BD" w:rsidRDefault="00000000" w:rsidP="00D534BD">
            <w:pPr>
              <w:bidi/>
              <w:rPr>
                <w:rFonts w:hint="eastAsia"/>
                <w:sz w:val="32"/>
                <w:szCs w:val="24"/>
              </w:rPr>
            </w:pPr>
            <w:r w:rsidRPr="00D534BD">
              <w:rPr>
                <w:szCs w:val="24"/>
              </w:rPr>
              <w:t>كشف حيوية مزدوج مدمج في الدخول والحضور والمناقشة</w:t>
            </w:r>
          </w:p>
        </w:tc>
      </w:tr>
      <w:tr w:rsidR="000D0DFA" w:rsidRPr="00D534BD" w14:paraId="0094349F" w14:textId="77777777">
        <w:trPr>
          <w:jc w:val="center"/>
        </w:trPr>
        <w:tc>
          <w:tcPr>
            <w:tcW w:w="3120" w:type="dxa"/>
          </w:tcPr>
          <w:p w14:paraId="3F69774D" w14:textId="77777777" w:rsidR="000D0DFA" w:rsidRPr="00D534BD" w:rsidRDefault="00000000" w:rsidP="00D534BD">
            <w:pPr>
              <w:bidi/>
              <w:rPr>
                <w:rFonts w:hint="eastAsia"/>
                <w:sz w:val="32"/>
                <w:szCs w:val="24"/>
              </w:rPr>
            </w:pPr>
            <w:r w:rsidRPr="00D534BD">
              <w:rPr>
                <w:szCs w:val="24"/>
              </w:rPr>
              <w:t>كشف الانتحال النصي</w:t>
            </w:r>
          </w:p>
        </w:tc>
        <w:tc>
          <w:tcPr>
            <w:tcW w:w="3120" w:type="dxa"/>
          </w:tcPr>
          <w:p w14:paraId="4C1294EC" w14:textId="77777777" w:rsidR="000D0DFA" w:rsidRPr="00D534BD" w:rsidRDefault="00000000" w:rsidP="00D534BD">
            <w:pPr>
              <w:bidi/>
              <w:rPr>
                <w:rFonts w:hint="eastAsia"/>
                <w:sz w:val="32"/>
                <w:szCs w:val="24"/>
              </w:rPr>
            </w:pPr>
            <w:r w:rsidRPr="00D534BD">
              <w:rPr>
                <w:szCs w:val="24"/>
              </w:rPr>
              <w:t>محصور في اللغات الطبيعية فقط</w:t>
            </w:r>
          </w:p>
        </w:tc>
        <w:tc>
          <w:tcPr>
            <w:tcW w:w="3120" w:type="dxa"/>
          </w:tcPr>
          <w:p w14:paraId="7FE7F44D" w14:textId="77777777" w:rsidR="000D0DFA" w:rsidRPr="00D534BD" w:rsidRDefault="00000000" w:rsidP="00D534BD">
            <w:pPr>
              <w:bidi/>
              <w:rPr>
                <w:rFonts w:hint="eastAsia"/>
                <w:sz w:val="32"/>
                <w:szCs w:val="24"/>
              </w:rPr>
            </w:pPr>
            <w:r w:rsidRPr="00D534BD">
              <w:rPr>
                <w:szCs w:val="24"/>
              </w:rPr>
              <w:t>محرك هجيني ثنائي (NLP + AST) في بنية واحدة</w:t>
            </w:r>
          </w:p>
        </w:tc>
      </w:tr>
      <w:tr w:rsidR="000D0DFA" w:rsidRPr="00D534BD" w14:paraId="0B0E9297" w14:textId="77777777">
        <w:trPr>
          <w:jc w:val="center"/>
        </w:trPr>
        <w:tc>
          <w:tcPr>
            <w:tcW w:w="3120" w:type="dxa"/>
            <w:shd w:val="clear" w:color="auto" w:fill="F0F4F8"/>
          </w:tcPr>
          <w:p w14:paraId="50B37AF9" w14:textId="77777777" w:rsidR="000D0DFA" w:rsidRPr="00D534BD" w:rsidRDefault="00000000" w:rsidP="00D534BD">
            <w:pPr>
              <w:bidi/>
              <w:rPr>
                <w:rFonts w:hint="eastAsia"/>
                <w:sz w:val="32"/>
                <w:szCs w:val="24"/>
              </w:rPr>
            </w:pPr>
            <w:r w:rsidRPr="00D534BD">
              <w:rPr>
                <w:szCs w:val="24"/>
              </w:rPr>
              <w:t>كشف الانتحال البرمجي</w:t>
            </w:r>
          </w:p>
        </w:tc>
        <w:tc>
          <w:tcPr>
            <w:tcW w:w="3120" w:type="dxa"/>
            <w:shd w:val="clear" w:color="auto" w:fill="F0F4F8"/>
          </w:tcPr>
          <w:p w14:paraId="108179AE" w14:textId="77777777" w:rsidR="000D0DFA" w:rsidRPr="00D534BD" w:rsidRDefault="00000000" w:rsidP="00D534BD">
            <w:pPr>
              <w:bidi/>
              <w:rPr>
                <w:rFonts w:hint="eastAsia"/>
                <w:sz w:val="32"/>
                <w:szCs w:val="24"/>
              </w:rPr>
            </w:pPr>
            <w:r w:rsidRPr="00D534BD">
              <w:rPr>
                <w:szCs w:val="24"/>
              </w:rPr>
              <w:t>منعزل عن سير العمل الأكاديمي</w:t>
            </w:r>
          </w:p>
        </w:tc>
        <w:tc>
          <w:tcPr>
            <w:tcW w:w="3120" w:type="dxa"/>
            <w:shd w:val="clear" w:color="auto" w:fill="F0F4F8"/>
          </w:tcPr>
          <w:p w14:paraId="5225B145" w14:textId="77777777" w:rsidR="000D0DFA" w:rsidRPr="00D534BD" w:rsidRDefault="00000000" w:rsidP="00D534BD">
            <w:pPr>
              <w:bidi/>
              <w:rPr>
                <w:rFonts w:hint="eastAsia"/>
                <w:sz w:val="32"/>
                <w:szCs w:val="24"/>
              </w:rPr>
            </w:pPr>
            <w:r w:rsidRPr="00D534BD">
              <w:rPr>
                <w:szCs w:val="24"/>
              </w:rPr>
              <w:t>AST غير متزامن مرتبط بلوحة Kanban ولوحة المشرف</w:t>
            </w:r>
          </w:p>
        </w:tc>
      </w:tr>
      <w:tr w:rsidR="000D0DFA" w:rsidRPr="00D534BD" w14:paraId="1239A2F3" w14:textId="77777777">
        <w:trPr>
          <w:jc w:val="center"/>
        </w:trPr>
        <w:tc>
          <w:tcPr>
            <w:tcW w:w="3120" w:type="dxa"/>
          </w:tcPr>
          <w:p w14:paraId="491A5B42" w14:textId="77777777" w:rsidR="000D0DFA" w:rsidRPr="00D534BD" w:rsidRDefault="00000000" w:rsidP="00D534BD">
            <w:pPr>
              <w:bidi/>
              <w:rPr>
                <w:rFonts w:hint="eastAsia"/>
                <w:sz w:val="32"/>
                <w:szCs w:val="24"/>
              </w:rPr>
            </w:pPr>
            <w:r w:rsidRPr="00D534BD">
              <w:rPr>
                <w:szCs w:val="24"/>
              </w:rPr>
              <w:t>الحضور الذكي</w:t>
            </w:r>
          </w:p>
        </w:tc>
        <w:tc>
          <w:tcPr>
            <w:tcW w:w="3120" w:type="dxa"/>
          </w:tcPr>
          <w:p w14:paraId="132BD9DB" w14:textId="77777777" w:rsidR="000D0DFA" w:rsidRPr="00D534BD" w:rsidRDefault="00000000" w:rsidP="00D534BD">
            <w:pPr>
              <w:bidi/>
              <w:rPr>
                <w:rFonts w:hint="eastAsia"/>
                <w:sz w:val="32"/>
                <w:szCs w:val="24"/>
              </w:rPr>
            </w:pPr>
            <w:r w:rsidRPr="00D534BD">
              <w:rPr>
                <w:szCs w:val="24"/>
              </w:rPr>
              <w:t>حضور روتيني بلا كشف تحايل</w:t>
            </w:r>
          </w:p>
        </w:tc>
        <w:tc>
          <w:tcPr>
            <w:tcW w:w="3120" w:type="dxa"/>
          </w:tcPr>
          <w:p w14:paraId="14516919" w14:textId="77777777" w:rsidR="000D0DFA" w:rsidRPr="00D534BD" w:rsidRDefault="00000000" w:rsidP="00D534BD">
            <w:pPr>
              <w:bidi/>
              <w:rPr>
                <w:rFonts w:hint="eastAsia"/>
                <w:sz w:val="32"/>
                <w:szCs w:val="24"/>
              </w:rPr>
            </w:pPr>
            <w:r w:rsidRPr="00D534BD">
              <w:rPr>
                <w:szCs w:val="24"/>
              </w:rPr>
              <w:t>بوابة بيومترية مشفّرة لجلسات المناقشة عالية المخاطر</w:t>
            </w:r>
          </w:p>
        </w:tc>
      </w:tr>
      <w:tr w:rsidR="000D0DFA" w:rsidRPr="00D534BD" w14:paraId="3E337389" w14:textId="77777777">
        <w:trPr>
          <w:jc w:val="center"/>
        </w:trPr>
        <w:tc>
          <w:tcPr>
            <w:tcW w:w="3120" w:type="dxa"/>
            <w:shd w:val="clear" w:color="auto" w:fill="F0F4F8"/>
          </w:tcPr>
          <w:p w14:paraId="482D06F7" w14:textId="77777777" w:rsidR="000D0DFA" w:rsidRPr="00D534BD" w:rsidRDefault="00000000" w:rsidP="00D534BD">
            <w:pPr>
              <w:bidi/>
              <w:rPr>
                <w:rFonts w:hint="eastAsia"/>
                <w:sz w:val="32"/>
                <w:szCs w:val="24"/>
              </w:rPr>
            </w:pPr>
            <w:r w:rsidRPr="00D534BD">
              <w:rPr>
                <w:szCs w:val="24"/>
              </w:rPr>
              <w:t>سير العمل الرشيق</w:t>
            </w:r>
          </w:p>
        </w:tc>
        <w:tc>
          <w:tcPr>
            <w:tcW w:w="3120" w:type="dxa"/>
            <w:shd w:val="clear" w:color="auto" w:fill="F0F4F8"/>
          </w:tcPr>
          <w:p w14:paraId="0270FE89" w14:textId="77777777" w:rsidR="000D0DFA" w:rsidRPr="00D534BD" w:rsidRDefault="00000000" w:rsidP="00D534BD">
            <w:pPr>
              <w:bidi/>
              <w:rPr>
                <w:rFonts w:hint="eastAsia"/>
                <w:sz w:val="32"/>
                <w:szCs w:val="24"/>
              </w:rPr>
            </w:pPr>
            <w:r w:rsidRPr="00D534BD">
              <w:rPr>
                <w:szCs w:val="24"/>
              </w:rPr>
              <w:t>أدوات خارجية منفصلة عن المستودع الأكاديمي</w:t>
            </w:r>
          </w:p>
        </w:tc>
        <w:tc>
          <w:tcPr>
            <w:tcW w:w="3120" w:type="dxa"/>
            <w:shd w:val="clear" w:color="auto" w:fill="F0F4F8"/>
          </w:tcPr>
          <w:p w14:paraId="43E18837" w14:textId="77777777" w:rsidR="000D0DFA" w:rsidRPr="00D534BD" w:rsidRDefault="00000000" w:rsidP="00D534BD">
            <w:pPr>
              <w:bidi/>
              <w:rPr>
                <w:rFonts w:hint="eastAsia"/>
                <w:sz w:val="32"/>
                <w:szCs w:val="24"/>
              </w:rPr>
            </w:pPr>
            <w:r w:rsidRPr="00D534BD">
              <w:rPr>
                <w:szCs w:val="24"/>
              </w:rPr>
              <w:t>Kanban أصلي يُشغّل فحوصات AI تلقائياً عند نقل المهام</w:t>
            </w:r>
          </w:p>
        </w:tc>
      </w:tr>
    </w:tbl>
    <w:p w14:paraId="54F2B2BB" w14:textId="77777777" w:rsidR="00D534BD" w:rsidRDefault="00D534BD" w:rsidP="00D534BD">
      <w:pPr>
        <w:bidi/>
        <w:spacing w:before="280"/>
        <w:rPr>
          <w:b/>
          <w:color w:val="008080"/>
          <w:sz w:val="36"/>
          <w:szCs w:val="24"/>
        </w:rPr>
      </w:pPr>
    </w:p>
    <w:p w14:paraId="39939167" w14:textId="77777777" w:rsidR="00D534BD" w:rsidRDefault="00D534BD" w:rsidP="00D534BD">
      <w:pPr>
        <w:bidi/>
        <w:spacing w:before="280"/>
        <w:rPr>
          <w:b/>
          <w:color w:val="008080"/>
          <w:sz w:val="36"/>
          <w:szCs w:val="24"/>
        </w:rPr>
      </w:pPr>
    </w:p>
    <w:p w14:paraId="7B68274D" w14:textId="77777777" w:rsidR="00D534BD" w:rsidRDefault="00D534BD" w:rsidP="00D534BD">
      <w:pPr>
        <w:bidi/>
        <w:spacing w:before="280"/>
        <w:rPr>
          <w:b/>
          <w:color w:val="008080"/>
          <w:sz w:val="36"/>
          <w:szCs w:val="24"/>
        </w:rPr>
      </w:pPr>
    </w:p>
    <w:p w14:paraId="7BE2BBE2" w14:textId="77777777" w:rsidR="00D534BD" w:rsidRDefault="00D534BD" w:rsidP="00D534BD">
      <w:pPr>
        <w:bidi/>
        <w:spacing w:before="280"/>
        <w:rPr>
          <w:b/>
          <w:color w:val="008080"/>
          <w:sz w:val="36"/>
          <w:szCs w:val="24"/>
        </w:rPr>
      </w:pPr>
    </w:p>
    <w:p w14:paraId="1B94B8C7" w14:textId="77777777" w:rsidR="00D534BD" w:rsidRDefault="00D534BD" w:rsidP="00D534BD">
      <w:pPr>
        <w:bidi/>
        <w:spacing w:before="280"/>
        <w:rPr>
          <w:b/>
          <w:color w:val="008080"/>
          <w:sz w:val="36"/>
          <w:szCs w:val="24"/>
        </w:rPr>
      </w:pPr>
    </w:p>
    <w:p w14:paraId="04AF437A" w14:textId="77777777" w:rsidR="00D534BD" w:rsidRDefault="00D534BD" w:rsidP="00D534BD">
      <w:pPr>
        <w:bidi/>
        <w:spacing w:before="280"/>
        <w:rPr>
          <w:b/>
          <w:color w:val="008080"/>
          <w:sz w:val="36"/>
          <w:szCs w:val="24"/>
        </w:rPr>
      </w:pPr>
    </w:p>
    <w:p w14:paraId="56E4192C" w14:textId="52BC4648" w:rsidR="000D0DFA" w:rsidRPr="00D534BD" w:rsidRDefault="00000000" w:rsidP="00D534BD">
      <w:pPr>
        <w:bidi/>
        <w:spacing w:before="280"/>
        <w:rPr>
          <w:rFonts w:hint="eastAsia"/>
          <w:sz w:val="32"/>
          <w:szCs w:val="24"/>
        </w:rPr>
      </w:pPr>
      <w:r w:rsidRPr="00D534BD">
        <w:rPr>
          <w:b/>
          <w:color w:val="008080"/>
          <w:sz w:val="36"/>
          <w:szCs w:val="24"/>
          <w:rtl/>
        </w:rPr>
        <w:lastRenderedPageBreak/>
        <w:t>قائمة المراجع (References)</w:t>
      </w:r>
      <w:r w:rsidR="00D534BD">
        <w:rPr>
          <w:b/>
          <w:color w:val="008080"/>
          <w:sz w:val="36"/>
          <w:szCs w:val="24"/>
        </w:rPr>
        <w:t>:</w:t>
      </w:r>
    </w:p>
    <w:p w14:paraId="07A694FD" w14:textId="77777777" w:rsidR="000D0DFA" w:rsidRPr="00D534BD" w:rsidRDefault="00000000" w:rsidP="00D534BD">
      <w:pPr>
        <w:spacing w:after="80" w:line="276" w:lineRule="auto"/>
        <w:rPr>
          <w:rFonts w:hint="eastAsia"/>
          <w:sz w:val="32"/>
          <w:szCs w:val="24"/>
        </w:rPr>
      </w:pPr>
      <w:r w:rsidRPr="00D534BD">
        <w:rPr>
          <w:rFonts w:ascii="Times New Roman" w:hAnsi="Times New Roman"/>
          <w:sz w:val="24"/>
          <w:szCs w:val="24"/>
        </w:rPr>
        <w:t>1. Abdulazeez, A. I., &amp; Chukwudi, J. H. (2026). InRep Scholar: A User-Centred Institutional Repository Model for Rwandan Universities. International Journal of Scientific Research and Modern Technology, 5(6). https://doi.org/10.38124/ijsrmt.v5i6.15148</w:t>
      </w:r>
    </w:p>
    <w:p w14:paraId="1CAE65E2" w14:textId="77777777" w:rsidR="000D0DFA" w:rsidRPr="00D534BD" w:rsidRDefault="00000000" w:rsidP="00D534BD">
      <w:pPr>
        <w:spacing w:after="80" w:line="276" w:lineRule="auto"/>
        <w:rPr>
          <w:rFonts w:hint="eastAsia"/>
          <w:sz w:val="32"/>
          <w:szCs w:val="24"/>
        </w:rPr>
      </w:pPr>
      <w:r w:rsidRPr="00D534BD">
        <w:rPr>
          <w:rFonts w:ascii="Times New Roman" w:hAnsi="Times New Roman"/>
          <w:sz w:val="24"/>
          <w:szCs w:val="24"/>
        </w:rPr>
        <w:t>2. McGeary, B. (2025). Evaluating a Statewide OER Repository on the Hyku Platform: Value, Usability, Cost, and Administration. Journal of New Librarianship, 10. https://doi.org/10.33011/newlibs/18/110</w:t>
      </w:r>
    </w:p>
    <w:p w14:paraId="69875CE0" w14:textId="77777777" w:rsidR="000D0DFA" w:rsidRPr="00D534BD" w:rsidRDefault="00000000" w:rsidP="00D534BD">
      <w:pPr>
        <w:spacing w:after="80" w:line="276" w:lineRule="auto"/>
        <w:rPr>
          <w:rFonts w:hint="eastAsia"/>
          <w:sz w:val="32"/>
          <w:szCs w:val="24"/>
        </w:rPr>
      </w:pPr>
      <w:r w:rsidRPr="00D534BD">
        <w:rPr>
          <w:rFonts w:ascii="Times New Roman" w:hAnsi="Times New Roman"/>
          <w:sz w:val="24"/>
          <w:szCs w:val="24"/>
        </w:rPr>
        <w:t>3. Bermusa, J. P., &amp; Ricafort, R. B. (2026). FaceLog: Login System with User Authentication Toolkit Utilizing Convolutional Neural Network Algorithm. International Journal of Research and Scientific Innovation, 13(1). https://doi.org/10.51244/IJRSI.13.128</w:t>
      </w:r>
    </w:p>
    <w:p w14:paraId="0902EC0C" w14:textId="77777777" w:rsidR="000D0DFA" w:rsidRPr="00D534BD" w:rsidRDefault="00000000" w:rsidP="00D534BD">
      <w:pPr>
        <w:spacing w:after="80" w:line="276" w:lineRule="auto"/>
        <w:rPr>
          <w:rFonts w:hint="eastAsia"/>
          <w:sz w:val="32"/>
          <w:szCs w:val="24"/>
        </w:rPr>
      </w:pPr>
      <w:r w:rsidRPr="00D534BD">
        <w:rPr>
          <w:rFonts w:ascii="Times New Roman" w:hAnsi="Times New Roman"/>
          <w:sz w:val="24"/>
          <w:szCs w:val="24"/>
        </w:rPr>
        <w:t>4. Abdelaal, A., et al. (2025). Plagiarism detection across languages: A comprehensive study of Arabic and English-to-Arabic long documents. PeerJ Computer Science. https://doi.org/10.7717/peerj-cs.3128</w:t>
      </w:r>
    </w:p>
    <w:p w14:paraId="502646B3" w14:textId="77777777" w:rsidR="000D0DFA" w:rsidRPr="00D534BD" w:rsidRDefault="00000000" w:rsidP="00D534BD">
      <w:pPr>
        <w:spacing w:after="80" w:line="276" w:lineRule="auto"/>
        <w:rPr>
          <w:rFonts w:hint="eastAsia"/>
          <w:sz w:val="32"/>
          <w:szCs w:val="24"/>
        </w:rPr>
      </w:pPr>
      <w:r w:rsidRPr="00D534BD">
        <w:rPr>
          <w:rFonts w:ascii="Times New Roman" w:hAnsi="Times New Roman"/>
          <w:sz w:val="24"/>
          <w:szCs w:val="24"/>
        </w:rPr>
        <w:t>5. Abo-Elghit, A. H., et al. (2022). Embedding Extraction for Arabic Text Using the AraBERT Model. Computers, Materials &amp; Continua, 72(1). https://doi.org/10.32604/cmc.2022.025353</w:t>
      </w:r>
    </w:p>
    <w:p w14:paraId="67731FA9" w14:textId="77777777" w:rsidR="000D0DFA" w:rsidRPr="00D534BD" w:rsidRDefault="00000000" w:rsidP="00D534BD">
      <w:pPr>
        <w:spacing w:after="80" w:line="276" w:lineRule="auto"/>
        <w:rPr>
          <w:rFonts w:hint="eastAsia"/>
          <w:sz w:val="32"/>
          <w:szCs w:val="24"/>
        </w:rPr>
      </w:pPr>
      <w:r w:rsidRPr="00D534BD">
        <w:rPr>
          <w:rFonts w:ascii="Times New Roman" w:hAnsi="Times New Roman"/>
          <w:sz w:val="24"/>
          <w:szCs w:val="24"/>
        </w:rPr>
        <w:t>6. Hasibuan, F. A. (2026). Code Plagiarism Detection Using Graphic Neural Network Based on Abstract Syntax Tree. AQILA Journal, 3(1). https://doi.org/10.62123/aqila.v3i1.17745</w:t>
      </w:r>
    </w:p>
    <w:p w14:paraId="4692800B" w14:textId="77777777" w:rsidR="000D0DFA" w:rsidRPr="00D534BD" w:rsidRDefault="00000000" w:rsidP="00D534BD">
      <w:pPr>
        <w:spacing w:after="80" w:line="276" w:lineRule="auto"/>
        <w:rPr>
          <w:rFonts w:hint="eastAsia"/>
          <w:sz w:val="32"/>
          <w:szCs w:val="24"/>
        </w:rPr>
      </w:pPr>
      <w:r w:rsidRPr="00D534BD">
        <w:rPr>
          <w:rFonts w:ascii="Times New Roman" w:hAnsi="Times New Roman"/>
          <w:sz w:val="24"/>
          <w:szCs w:val="24"/>
        </w:rPr>
        <w:t>7. Alfaro-Velasco, J., et al. (2024). Automated Classroom Attendance using a Machine Learning-Based Recognition System. LACCEI International Multi-Conference for Engineering, Education and Technology. https://doi.org/10.18687/LACCEI2024.1.1.676</w:t>
      </w:r>
    </w:p>
    <w:p w14:paraId="7D47042D" w14:textId="77777777" w:rsidR="000D0DFA" w:rsidRPr="00D534BD" w:rsidRDefault="00000000" w:rsidP="00D534BD">
      <w:pPr>
        <w:spacing w:after="80" w:line="276" w:lineRule="auto"/>
        <w:rPr>
          <w:rFonts w:hint="eastAsia"/>
          <w:sz w:val="32"/>
          <w:szCs w:val="24"/>
        </w:rPr>
      </w:pPr>
      <w:r w:rsidRPr="00D534BD">
        <w:rPr>
          <w:rFonts w:ascii="Times New Roman" w:hAnsi="Times New Roman"/>
          <w:sz w:val="24"/>
          <w:szCs w:val="24"/>
        </w:rPr>
        <w:t>8. Strickroth, S., et al. (2022). Learning from Agile Methods: Using a Kanban Board for Classroom Orchestration. In International Conference on Interactive Collaborative Learning. Springer. https://doi.org/10.1007/978-3-031-26876-2_7</w:t>
      </w:r>
    </w:p>
    <w:sectPr w:rsidR="000D0DFA" w:rsidRPr="00D534B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274461">
    <w:abstractNumId w:val="8"/>
  </w:num>
  <w:num w:numId="2" w16cid:durableId="595869785">
    <w:abstractNumId w:val="6"/>
  </w:num>
  <w:num w:numId="3" w16cid:durableId="1709602695">
    <w:abstractNumId w:val="5"/>
  </w:num>
  <w:num w:numId="4" w16cid:durableId="415900331">
    <w:abstractNumId w:val="4"/>
  </w:num>
  <w:num w:numId="5" w16cid:durableId="1056393060">
    <w:abstractNumId w:val="7"/>
  </w:num>
  <w:num w:numId="6" w16cid:durableId="1584026273">
    <w:abstractNumId w:val="3"/>
  </w:num>
  <w:num w:numId="7" w16cid:durableId="1206521265">
    <w:abstractNumId w:val="2"/>
  </w:num>
  <w:num w:numId="8" w16cid:durableId="881743518">
    <w:abstractNumId w:val="1"/>
  </w:num>
  <w:num w:numId="9" w16cid:durableId="1492526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DFA"/>
    <w:rsid w:val="0015074B"/>
    <w:rsid w:val="0029639D"/>
    <w:rsid w:val="00326F90"/>
    <w:rsid w:val="00785799"/>
    <w:rsid w:val="00AA1D8D"/>
    <w:rsid w:val="00B47730"/>
    <w:rsid w:val="00CB0664"/>
    <w:rsid w:val="00D53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B11CF"/>
  <w14:defaultImageDpi w14:val="300"/>
  <w15:docId w15:val="{0EF0022F-7D98-4A2F-B238-31F657C0E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raditional Arabic" w:hAnsi="Traditional Arabic"/>
      <w:color w:val="222222"/>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3018</Words>
  <Characters>17207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Aiman Al-Shalfi</cp:lastModifiedBy>
  <cp:revision>2</cp:revision>
  <dcterms:created xsi:type="dcterms:W3CDTF">2013-12-23T23:15:00Z</dcterms:created>
  <dcterms:modified xsi:type="dcterms:W3CDTF">2026-08-14T07:59:00Z</dcterms:modified>
  <cp:category/>
</cp:coreProperties>
</file>