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i w:val="0"/>
          <w:color w:val="A61B1B"/>
          <w:sz w:val="44"/>
        </w:rPr>
        <w:t>РОСА</w:t>
      </w:r>
      <w:r>
        <w:rPr>
          <w:rFonts w:ascii="Arial" w:hAnsi="Arial"/>
          <w:b/>
          <w:i w:val="0"/>
          <w:color w:val="17365D"/>
          <w:sz w:val="44"/>
        </w:rPr>
        <w:t xml:space="preserve"> · ТЕХНИЧЕСКОЕ ЗАДАНИЕ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17365D"/>
          <w:sz w:val="32"/>
        </w:rPr>
        <w:t>Доработка раздела «1. Фонд и карточка скважины»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4B5563"/>
          <w:sz w:val="22"/>
        </w:rPr>
        <w:t>Импорт формы базы отказов · контроль полноты · ручной ввод · справочники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437"/>
            <w:shd w:fill="F3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7"/>
              </w:rPr>
              <w:t>Целевая сборка</w:t>
              <w:br/>
            </w:r>
            <w:r>
              <w:rPr>
                <w:rFonts w:ascii="Arial" w:hAnsi="Arial"/>
                <w:b/>
                <w:i w:val="0"/>
                <w:color w:val="17365D"/>
                <w:sz w:val="19"/>
              </w:rPr>
              <w:t>7.3.11.588-RC</w:t>
            </w:r>
          </w:p>
        </w:tc>
        <w:tc>
          <w:tcPr>
            <w:tcW w:type="dxa" w:w="3437"/>
            <w:shd w:fill="F3F6F9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База / статус</w:t>
              <w:br/>
              <w:t>Последняя выпущенная:</w:t>
              <w:br/>
              <w:t>7.3.11.587-RC</w:t>
              <w:br/>
              <w:t>Текущая 7.3.11.588-RC — незавершённая; продолжать без отката уже сделанного</w:t>
            </w:r>
          </w:p>
        </w:tc>
        <w:tc>
          <w:tcPr>
            <w:tcW w:type="dxa" w:w="3437"/>
            <w:shd w:fill="F3F6F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B5563"/>
                <w:sz w:val="17"/>
              </w:rPr>
              <w:t>Формат источника</w:t>
              <w:br/>
            </w:r>
            <w:r>
              <w:rPr>
                <w:rFonts w:ascii="Arial" w:hAnsi="Arial"/>
                <w:b/>
                <w:i w:val="0"/>
                <w:color w:val="17365D"/>
                <w:sz w:val="19"/>
              </w:rPr>
              <w:t>Excel-форма базы отказов РОСА</w:t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color w:val="A61B1B"/>
          <w:sz w:val="21"/>
        </w:rPr>
        <w:t>ВНЕОЧЕРЕДНАЯ ДОРАБОТКА: завершить учёт отказов в 588-RC до возврата к основной очереди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10312"/>
            <w:shd w:fill="FDECEC"/>
            <w:tcBorders>
              <w:top w:val="nil"/>
              <w:left w:val="single" w:sz="16" w:color="A61B1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61B1B"/>
                <w:sz w:val="20"/>
              </w:rPr>
              <w:t xml:space="preserve">ЖЁСТКОЕ ОГРАНИЧЕНИЕ.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Не перерабатывать приветственное окно, экран загрузки и утверждённую шапку приложения. Не добавлять вторую точку выбора фонда. Рабочий объект по-прежнему выбирается и закрепляется только на «Главной». Вкладка «Фонд и карточка скважины» получает данные для уже закреплённого объекта.</w:t>
            </w:r>
          </w:p>
        </w:tc>
      </w:tr>
    </w:tbl>
    <w:p>
      <w:pPr>
        <w:spacing w:after="0"/>
      </w:pPr>
    </w:p>
    <w:p>
      <w:pPr>
        <w:pStyle w:val="Heading1"/>
      </w:pPr>
      <w:r>
        <w:t>0. ВНЕОЧЕРЕДНОЙ ПРИОРИТЕТ РЕЛИЗА 588-RC</w:t>
      </w:r>
    </w:p>
    <w:p>
      <w:pPr>
        <w:pStyle w:val="ListBullet"/>
        <w:spacing w:after="50"/>
      </w:pPr>
      <w:r>
        <w:t>7.3.11.587-RC считать последней выпущенной и контрольной стабильной версией. Это точка сравнения, регрессионный эталон и резерв для отката, но не команда заново начинать 588 с нуля.</w:t>
      </w:r>
    </w:p>
    <w:p>
      <w:pPr>
        <w:pStyle w:val="ListBullet"/>
        <w:spacing w:after="50"/>
      </w:pPr>
      <w:r>
        <w:t>7.3.11.588-RC уже находится в незавершённой работе. Продолжать текущую рабочую 588, предварительно зафиксировав, что в ней уже реализовано. Не откатывать и не перезаписывать работающие изменения 588 только ради внедрения учёта отказов.</w:t>
      </w:r>
    </w:p>
    <w:p>
      <w:pPr>
        <w:pStyle w:val="ListBullet"/>
        <w:spacing w:after="50"/>
      </w:pPr>
      <w:r>
        <w:t>Доработку учёта отказов выполнить ВНЕ ОЧЕРЕДИ: до продолжения следующих пунктов общего технического задания. До прохождения приёмочных критериев этого документа не переходить к 589 и не начинать новые крупные функциональные блоки, кроме критических исправлений регрессий.</w:t>
      </w:r>
    </w:p>
    <w:p>
      <w:pPr>
        <w:pStyle w:val="ListBullet"/>
        <w:spacing w:after="50"/>
      </w:pPr>
      <w:r>
        <w:t>Источник структуры данных для этого блока — приложенная Excel-форма «РОСА_ФОРМА_БАЗЫ_ОТКАЗОВ_581-RC_НЕ_ВЫБРАНО_ВО_ВСЕХ_СПИСКАХ.xlsx». Номер формы 581-RC относится к шаблону базы отказов и НЕ означает откат версии приложения: целевая сборка приложения остаётся 588-RC.</w:t>
      </w:r>
    </w:p>
    <w:p>
      <w:pPr>
        <w:pStyle w:val="ListBullet"/>
        <w:spacing w:after="50"/>
      </w:pPr>
      <w:r>
        <w:t>В объём внеочередной доработки входят: импорт «Оперативного ввода» и «Истории отказов»; единая история событий; статус «Только оперативный ввод»; процент содержательного заполнения полной карточки; доработка ручного ввода; зависимые справочники; «Не выбрано»; ОРД с несколькими типоразмерами; источник, аудит, дедупликация и безопасное обновление ранее внесённых данных.</w:t>
      </w:r>
    </w:p>
    <w:p>
      <w:pPr>
        <w:pStyle w:val="ListBullet"/>
        <w:spacing w:after="50"/>
      </w:pPr>
      <w:r>
        <w:t>Не расширять объём этой внеочередной задачи переработкой приветственного окна, экрана загрузки, утверждённой шапки, лабораторки, раздела «Методы и мероприятия» и прочих уже работающих вкладок. В них допустимы только минимальные интеграционные изменения, без визуального или функционального отката.</w:t>
      </w:r>
    </w:p>
    <w:p>
      <w:pPr>
        <w:pStyle w:val="ListBullet"/>
        <w:spacing w:after="50"/>
      </w:pPr>
      <w:r>
        <w:t>Перед изменением модели данных сделать резервную копию внутренней базы/хранилища 588. Миграции выполнять без потери существующей предыстории, ручных событий, статусов утверждения и связей с object_key. Обязателен тест открытия старых данных после миграции и проверка сценария отката.</w:t>
      </w:r>
    </w:p>
    <w:p>
      <w:pPr>
        <w:pStyle w:val="ListBullet"/>
        <w:spacing w:after="50"/>
      </w:pPr>
      <w:r>
        <w:t>После успешной приёмки, регрессии и фиксации 7.3.11.588-RC вернуться к ранее утверждённой основной последовательности развития РОСА. Эта внеочередная вставка не отменяет общий roadmap, а временно его прерывает.</w:t>
      </w:r>
    </w:p>
    <w:p>
      <w:pPr>
        <w:pStyle w:val="Heading1"/>
        <w:keepNext/>
      </w:pPr>
      <w:r>
        <w:t>1. Цель релиза 588-RC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На вкладке «1. Фонд и карточка скважины» добавить штатную загрузку утверждённой Excel-формы базы отказов без нарушения глобального закрепления объекта.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Объединить импортированные записи и ручной ввод в одну историю событий скважины, сохраняя источник и степень полноты каждого события.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Явно показывать события, в которых заполнен только «Оперативный ввод», и отдельно рассчитывать процент заполнения полной карточки расследования.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Переработать режим «Ручной ввод отказа»: сделать его максимально справочным и управляемым выпадающими/поисковыми списками, с ручным вводом только там, где это действительно необходимо.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Сделать механизм устойчивым к повторной загрузке одного файла, дубликатам, частично заполненным строкам и дальнейшему ручному уточнению данных технологом.</w:t>
      </w:r>
    </w:p>
    <w:p>
      <w:pPr>
        <w:pStyle w:val="Heading1"/>
        <w:keepNext/>
      </w:pPr>
      <w:r>
        <w:t>2. Неприкосновенные архитектурные правила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Единственная точка загрузки техрежима и выбора рабочего объекта — «Главная». Импорт формы отказов не должен менять закреплённый объект и не должен создавать новый селектор фонда.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Ключ объекта остаётся глобальным и читаемым. На вкладке отображать тот же закреплённый объект, что и во всём приложении.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При временном просмотре события другого объекта не перезакреплять глобальный объект без отдельного подтверждения.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МРП отображать и хранить как целое число суток. Автоматически рассчитываемые поля не включать в ручной ввод и не считать самостоятельными обязательными полями.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Интерфейс полностью русифицирован. Английский термин допустим только однократно в скобках, если без него нельзя.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Красный цвет использовать только для ключевых предупреждений/акцентов; утверждённый статус — зелёный; информационные состояния — синий/серый; «только оперативный ввод» — янтарный/жёлтый предупреждающий акцент.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Любые изменения должны проходить регрессионную проверку импорта, авторизации, перезакрепления объекта, сворачивания/разворачивания окна, выгрузок и переходов между вкладками.</w:t>
      </w:r>
    </w:p>
    <w:p>
      <w:pPr>
        <w:pStyle w:val="Heading1"/>
        <w:keepNext/>
      </w:pPr>
      <w:r>
        <w:t>3. Новое действие: «Подгрузить форму отказов»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10312"/>
            <w:shd w:fill="EAF2F8"/>
            <w:tcBorders>
              <w:top w:val="nil"/>
              <w:left w:val="single" w:sz="16" w:color="17365D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20"/>
              </w:rPr>
              <w:t xml:space="preserve">Расположение.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Кнопку разместить в верхней рабочей зоне вкладки «1. Фонд и карточка скважины», рядом с действиями по предыстории/отказам, но не вместо «Состояние оборудования». Название: «Подгрузить форму отказов». Рядом — «Справочник» и при необходимости «История импортов».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3.1. Что принимает импорт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Файл .xlsx утверждённой формы базы отказов РОСА.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Основные листы: «Оперативный ввод» и «История отказов».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Одна книга может содержать события по нескольким скважинам. Импортировать всю книгу в внутреннюю базу событий, но на вкладке показывать только события закреплённого объекта.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При импорте сохранять исходный файл в архив источников импорта либо как ссылку/контрольную копию согласно принятой архитектуре приложения.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Не требовать от пользователя предварительно удалять пустые строки или приводить Excel к иной структуре: валидатор сам определяет рабочий диапазон и игнорирует полностью пустые записи.</w:t>
      </w:r>
    </w:p>
    <w:p>
      <w:pPr>
        <w:pStyle w:val="Heading2"/>
        <w:keepNext/>
      </w:pPr>
      <w:r>
        <w:t>3.2. Проверка файла перед импортом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969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3969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Поведение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Структура книги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Есть ожидаемые листы и распознаваемые заголовки.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Ошибка импорта с понятным перечнем отсутствующих элементов.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Версия/совместимость</w:t>
            </w:r>
          </w:p>
        </w:tc>
        <w:tc>
          <w:tcPr>
            <w:tcW w:type="dxa" w:w="3969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Распознать текущую форму; не завязываться на абсолютное число строк.</w:t>
            </w:r>
          </w:p>
        </w:tc>
        <w:tc>
          <w:tcPr>
            <w:tcW w:type="dxa" w:w="3969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Если структура отличается — безопасный режим сопоставления полей.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Объект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Месторождение + № скважины; при наличии дополнительных идентификаторов использовать их.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Неизвестные строки — в список «Не сопоставлено», без потери данных.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Даты</w:t>
            </w:r>
          </w:p>
        </w:tc>
        <w:tc>
          <w:tcPr>
            <w:tcW w:type="dxa" w:w="3969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Корректные даты пуска/отказа; пустые допускаются для частичного события.</w:t>
            </w:r>
          </w:p>
        </w:tc>
        <w:tc>
          <w:tcPr>
            <w:tcW w:type="dxa" w:w="3969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Некорректные значения выделить, импорт остальных строк не блокировать.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МРП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Если есть обе даты — пересчитать/проверить; хранить целое число суток.</w:t>
            </w:r>
          </w:p>
        </w:tc>
        <w:tc>
          <w:tcPr>
            <w:tcW w:type="dxa" w:w="3969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Расхождение показать в журнале импорта.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Списки</w:t>
            </w:r>
          </w:p>
        </w:tc>
        <w:tc>
          <w:tcPr>
            <w:tcW w:type="dxa" w:w="3969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Принимать варианты из справочника и «Не выбрано».</w:t>
            </w:r>
          </w:p>
        </w:tc>
        <w:tc>
          <w:tcPr>
            <w:tcW w:type="dxa" w:w="3969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Неизвестное текстовое значение сохранить как импортированное и предложить добавить в справочник.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3.3. Сопоставление и защита от дублей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Сформировать технический fingerprint события минимум из: месторождение, № скважины, дата пуска, дата отказа/окончания, способ эксплуатации, тип события. Дополнительно учитывать типоразмер/марку ГНО, если они есть.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Повторная загрузка той же книги не должна создавать второй экземпляр события.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событие уже существует и после прошлого импорта было вручную дополнено/утверждено, новый импорт не должен молча перезаписывать ручные и утверждённые данные.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При конфликте: автоматически заполнять только пустые поля; для изменения уже заполненного значения показать сравнение «текущее / из файла» и дать выбор.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В журнале хранить: имя файла, дата/время импорта, лист, исходная строка, пользователь импорта, результат (добавлено / обновлено / дубль / не сопоставлено / ошибка).</w:t>
      </w:r>
    </w:p>
    <w:p>
      <w:pPr>
        <w:pStyle w:val="Heading2"/>
        <w:keepNext/>
      </w:pPr>
      <w:r>
        <w:t>3.4. Итоговое окно импорта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551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7257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показывать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Файл</w:t>
            </w:r>
          </w:p>
        </w:tc>
        <w:tc>
          <w:tcPr>
            <w:tcW w:type="dxa" w:w="725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Имя загруженной книги.</w:t>
            </w:r>
          </w:p>
        </w:tc>
      </w:tr>
      <w:tr>
        <w:tc>
          <w:tcPr>
            <w:tcW w:type="dxa" w:w="255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Добавлено</w:t>
            </w:r>
          </w:p>
        </w:tc>
        <w:tc>
          <w:tcPr>
            <w:tcW w:type="dxa" w:w="725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Количество новых событий.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Обновлено</w:t>
            </w:r>
          </w:p>
        </w:tc>
        <w:tc>
          <w:tcPr>
            <w:tcW w:type="dxa" w:w="725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Количество существующих событий, в которых заполнены ранее пустые поля.</w:t>
            </w:r>
          </w:p>
        </w:tc>
      </w:tr>
      <w:tr>
        <w:tc>
          <w:tcPr>
            <w:tcW w:type="dxa" w:w="255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Дубли</w:t>
            </w:r>
          </w:p>
        </w:tc>
        <w:tc>
          <w:tcPr>
            <w:tcW w:type="dxa" w:w="725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Количество строк, которые не были повторно добавлены.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 сопоставлено</w:t>
            </w:r>
          </w:p>
        </w:tc>
        <w:tc>
          <w:tcPr>
            <w:tcW w:type="dxa" w:w="725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Строки, для которых не найден объект/скважина.</w:t>
            </w:r>
          </w:p>
        </w:tc>
      </w:tr>
      <w:tr>
        <w:tc>
          <w:tcPr>
            <w:tcW w:type="dxa" w:w="255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Требуют внимания</w:t>
            </w:r>
          </w:p>
        </w:tc>
        <w:tc>
          <w:tcPr>
            <w:tcW w:type="dxa" w:w="725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Некорректные даты, неизвестные значения, конфликты.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Как показывать предысторию отказов после импорта</w:t>
      </w:r>
    </w:p>
    <w:p>
      <w:pPr>
        <w:pStyle w:val="Heading2"/>
        <w:keepNext/>
      </w:pPr>
      <w:r>
        <w:t>4.1. Таблица событий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474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Колонка</w:t>
            </w:r>
          </w:p>
        </w:tc>
        <w:tc>
          <w:tcPr>
            <w:tcW w:type="dxa" w:w="1474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Дата отказа / окончания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Основная дата события; сортировка по убыванию.</w:t>
            </w:r>
          </w:p>
        </w:tc>
      </w:tr>
      <w:tr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Тип события</w:t>
            </w:r>
          </w:p>
        </w:tc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Отказ / предварительный отказ / плановый подъём и т. п.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ГНО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Способ эксплуатации + основной типоразмер; для ОРД компактно показать количество выбранных типоразмеров.</w:t>
            </w:r>
          </w:p>
        </w:tc>
      </w:tr>
      <w:tr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Осложнение</w:t>
            </w:r>
          </w:p>
        </w:tc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Основная категория осложнения; при наличии — сопутствующие по раскрытию.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Статус данных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«Только оперативный ввод» / «Полная карточка: N%» / «Полная карточка заполнена».</w:t>
            </w:r>
          </w:p>
        </w:tc>
      </w:tr>
      <w:tr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Статус расследования</w:t>
            </w:r>
          </w:p>
        </w:tc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Предварительное / утверждённое и существующие статусы расследования.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Источник</w:t>
            </w:r>
          </w:p>
        </w:tc>
        <w:tc>
          <w:tcPr>
            <w:tcW w:type="dxa" w:w="1474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Excel · имя файла · лист · строка либо «Ручной ввод · дата».</w:t>
            </w:r>
          </w:p>
        </w:tc>
      </w:tr>
      <w:tr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Действия</w:t>
            </w:r>
          </w:p>
        </w:tc>
        <w:tc>
          <w:tcPr>
            <w:tcW w:type="dxa" w:w="1474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5"/>
              </w:rPr>
              <w:t>Открыть / Анализ по объекту / Дополнить / Утвердить / Экспорт.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4.2. Состояние «Только оперативный ввод»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событие присутствует/заполнено только на листе «Оперативный ввод» и по нему нет содержательного заполнения полной части расследования, строку/карточку выделять мягким янтарным фоном.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Текстовый бейдж: «Только оперативный ввод». Никаких формулировок, создающих впечатление, что расследование завершено.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Рядом действие «Дополнить полную карточку». Оно открывает ручной ввод сразу на соответствующем событии и переводит пользователя к первому незаполненному обязательному/рекомендуемому полю.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после ручного дополнения появились данные полной части, янтарный статус заменяется прогрессом «Полная карточка: N%».</w:t>
      </w:r>
    </w:p>
    <w:p>
      <w:pPr>
        <w:pStyle w:val="Heading2"/>
        <w:keepNext/>
      </w:pPr>
      <w:r>
        <w:t>4.3. Процент заполнения полной карточки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10312"/>
            <w:shd w:fill="EAF2F8"/>
            <w:tcBorders>
              <w:top w:val="nil"/>
              <w:left w:val="single" w:sz="16" w:color="17365D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20"/>
              </w:rPr>
              <w:t xml:space="preserve">Критически важно.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Не считать процент по всей строке Excel целиком: поля оперативного блока автоматически дублируются в «Историю отказов» и иначе искусственно завысят полноту. Процент считать только по применимым полям полной части расследования/комплектации/комиссии.</w:t>
            </w:r>
          </w:p>
        </w:tc>
      </w:tr>
    </w:tbl>
    <w:p>
      <w:pPr>
        <w:spacing w:after="0"/>
      </w:pP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Формула: заполненные содержательные применимые поля / все применимые поля полной части × 100%. Округление до целого процента.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Исключать из знаменателя: автополя, зеркальные поля оперативного блока, технические поля, а также поля оборудования, которые не относятся к выбранному способу эксплуатации.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Значение «Не выбрано» считать явно обработанным отсутствием информации, но НЕ содержательно заполненным полем. Чтобы пользователь видел причину неполноты, рядом показывать «Нет данных: N».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Пустое поле и «Не выбрано» не должны повышать процент содержательного заполнения.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Для полей с множественным выбором поле считается заполненным, если выбран хотя бы один содержательный вариант.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При 100% применимых содержательных полей показывать зелёный бейдж «Полная карточка заполнена». Утверждённость расследования при этом остаётся отдельным статусом и не подменяется процентом.</w:t>
      </w:r>
    </w:p>
    <w:p>
      <w:pPr>
        <w:pStyle w:val="Heading2"/>
        <w:keepNext/>
      </w:pPr>
      <w:r>
        <w:t>4.4. Какие поля входят в полную часть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28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7880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Поля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Расследование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ТКРС 1/2; вид повреждения; итоговая причина; уточнённая категория осложнения; методы до/после отказа; подтверждение; статус расследования; достоверность.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Насос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Номинальная подача / размер; производитель насоса.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НКТ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 НКТ; длина, м; год; СПО; состояние до спуска.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Двигатель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Производитель; типоразмер/габарит, мм; год; состояние до спуска.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Кабель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Типоразмер/сечение, мм²; длина, м; состояние до спуска.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Удлинитель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Типоразмер/сечение, мм²; длина, м; состояние до спуска.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Гидрозащита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Производитель; типоразмер/габарит, мм; год; состояние до спуска.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ТМС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Производитель; типоразмер; год.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Комиссия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Заключение комиссии / акт; источник / документ.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Фонтанная добыча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 насоса / способ эксплуатации; глубина насоса, м — только когда применимо.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Полная переработка режима «Ручной ввод отказа»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10312"/>
            <w:shd w:fill="EAF2F8"/>
            <w:tcBorders>
              <w:top w:val="nil"/>
              <w:left w:val="single" w:sz="16" w:color="17365D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20"/>
              </w:rPr>
              <w:t xml:space="preserve">Цель.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Технолог не должен вспоминать формулировки и печатать справочные значения вручную. Почти все категориальные поля должны выбираться из поисковых выпадающих списков. Ручной текст оставить только для фактических комментариев, документов и действительно уникальных значений.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5.1. Компоновка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Сохранить переключатель верхнего уровня «Предыстория · 36 мес.» / «Ручной ввод отказа».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Внутри «Ручного ввода отказа» сделать два режима: «Оперативно» и «Полная карточка». Переключение не должно терять уже введённые значения.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Форму разбить на логические блоки: 1) Основное событие; 2) Предварительная оценка; 3) Полное расследование; 4) Комплектация оборудования; 5) Заключение комиссии; 6) Фонтанная добыча — если применимо.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Блоки полной карточки допускается сворачивать, но текущий процент заполнения показывать постоянно в верхней панели формы.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Справа/сверху постоянно показывать: источник, статус «оперативный/полный», процент полной карточки, количество полей «Нет данных», статус расследования.</w:t>
      </w:r>
    </w:p>
    <w:p>
      <w:pPr>
        <w:pStyle w:val="Heading2"/>
        <w:keepNext/>
      </w:pPr>
      <w:r>
        <w:t>5.2. Базовый оперативный минимум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061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Поведение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Месторождение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Автозаполнение из закреплённого объекта; вручную не менять в обычном режиме.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№ скважины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Автозаполнение из закреплённого объекта.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Дата пуска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Дата; ручной ввод/календарь.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Дата отказа / окончания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Дата; ручной ввод/календарь.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МРП, сут.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Авто; целое число.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Способ эксплуатации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Поисковый список + «Не выбрано».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Типоразмер ГНО 1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Зависимый список по способу эксплуатации.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Типоразмеры ГНО 2–4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Показывать/активировать для ОРД; независимый множественный набор через отдельные поля.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Марка ГНО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Зависимый список + ручное добавление в справочник.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 события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Список.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Признак / предпосылка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Зависимый список по способу эксплуатации.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Отказавший узел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Зависимый список по способу эксплуатации.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Предварительная причина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Зависимый список.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Основная категория осложнения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Список классов.</w:t>
            </w:r>
          </w:p>
        </w:tc>
      </w:tr>
      <w:tr>
        <w:tc>
          <w:tcPr>
            <w:tcW w:type="dxa" w:w="306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Сопутствующие осложнения 1–2</w:t>
            </w:r>
          </w:p>
        </w:tc>
        <w:tc>
          <w:tcPr>
            <w:tcW w:type="dxa" w:w="6746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Список; допускается «Не выбрано».</w:t>
            </w:r>
          </w:p>
        </w:tc>
      </w:tr>
      <w:tr>
        <w:tc>
          <w:tcPr>
            <w:tcW w:type="dxa" w:w="306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Комментарий</w:t>
            </w:r>
          </w:p>
        </w:tc>
        <w:tc>
          <w:tcPr>
            <w:tcW w:type="dxa" w:w="6746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Свободный текст.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5.3. Полная карточка — поля расследования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ТКРС 1 / ТКРС 2 — выпадающие справочники мероприятий/ремонтов.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Вид повреждения — зависимый список по способу эксплуатации.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Итоговая причина — зависимый список причин; допускается ручное уточнение отдельным комментарием, но не заменять им классификатор.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Уточнённая категория осложнения — список классификатора.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Метод до отказа 1 / 2 и метод после отказа 1 / 2 — поисковые справочники методов; разрешить «Не выбрано».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Подтверждение — справочник типа подтверждающего документа/анализа.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Статус расследования — справочник. Утверждённые события подсвечивать зелёным.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Достоверность — справочник.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Источник / документ и заключение комиссии / акт — текст/ссылка на файл; эти поля не превращать в бессмысленный фиксированный список.</w:t>
      </w:r>
    </w:p>
    <w:p>
      <w:pPr>
        <w:pStyle w:val="Heading2"/>
        <w:keepNext/>
      </w:pPr>
      <w:r>
        <w:t>5.4. Комплектация оборудования — максимально справочная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928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7880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Правила ввода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Насос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Номинальная подача / размер — список; производитель — поисковый список с возможностью добавить новое значение.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НКТ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 — список; длина, м — число; год — список 2027–2035 + существующие годы + ручное добавление; СПО — список; состояние — список.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Двигатель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Производитель — список; типоразмер/габарит, мм — список; год — список; состояние — список.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Кабель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Типоразмер/сечение, мм² — список; длина, м — число; состояние — список.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Удлинитель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Типоразмер/сечение, мм² — список; длина, м — число; состояние — список.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Гидрозащита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Производитель — список; типоразмер/габарит, мм — список; год — список; состояние — список.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ТМС</w:t>
            </w:r>
          </w:p>
        </w:tc>
        <w:tc>
          <w:tcPr>
            <w:tcW w:type="dxa" w:w="788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Производитель — список; типоразмер — список; год — список.</w:t>
            </w:r>
          </w:p>
        </w:tc>
      </w:tr>
      <w:tr>
        <w:tc>
          <w:tcPr>
            <w:tcW w:type="dxa" w:w="192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Фонтанный фонд</w:t>
            </w:r>
          </w:p>
        </w:tc>
        <w:tc>
          <w:tcPr>
            <w:tcW w:type="dxa" w:w="788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Тип насоса / способ эксплуатации — список; глубина насоса, м — число.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5.5. Общие правила для всех справочников/фильтров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Во всех выпадающих списках первой строкой — «Не выбрано».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Поиск по подстроке: пользователь начинает печатать и видит отфильтрованный список.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Не показывать пустые строки в списках.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Списки должны быть контекстными: способ эксплуатации определяет допустимые типоразмеры, марки, признаки, узлы, причины и виды повреждения.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ОРД: разрешить основной типоразмер + до трёх дополнительных типоразмеров; все четыре поля видимы рядом. Для не-ОРД дополнительные поля не предлагают содержательных значений.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пользователь вручную вводит новый производитель, типоразмер, марку, год или иное расширяемое справочное значение — предложить «Добавить в справочник». После подтверждения значение доступно в следующих записях.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Перед добавлением нового справочного значения нормализовать пробелы/регистр и проверять дубль. Не создавать «Новомет», «НОВОМЕТ», «Новомет » как разные значения.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Кнопки рядом с соответствующими полями/блоками: «Выбрать из справочника» и «Занести вручную» — там, где допустим ручной ввод.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Отдельная кнопка «Справочник» открывает читаемый справочник без технических диапазонов и пустых колонок.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Поля-числа принимают точку и запятую как десятичный разделитель; визуально нормализовать значение по правилам программы.</w:t>
      </w:r>
    </w:p>
    <w:p>
      <w:pPr>
        <w:pStyle w:val="Heading1"/>
        <w:keepNext/>
      </w:pPr>
      <w:r>
        <w:t>6. Применимость полей по способу эксплуатации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10312"/>
            <w:shd w:fill="EAF2F8"/>
            <w:tcBorders>
              <w:top w:val="nil"/>
              <w:left w:val="single" w:sz="16" w:color="17365D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20"/>
              </w:rPr>
              <w:t xml:space="preserve">Нельзя считать неполнотой то, что не относится к конкретному ГНО.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При расчёте процента и при отображении формы скрывать/деактивировать нерелевантные поля либо помечать их «Не применяется». Они исключаются из знаменателя процента заполнения.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041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Способ</w:t>
            </w:r>
          </w:p>
        </w:tc>
        <w:tc>
          <w:tcPr>
            <w:tcW w:type="dxa" w:w="7767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Принцип применимости</w:t>
            </w:r>
          </w:p>
        </w:tc>
      </w:tr>
      <w:tr>
        <w:tc>
          <w:tcPr>
            <w:tcW w:type="dxa" w:w="204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ШГН</w:t>
            </w:r>
          </w:p>
        </w:tc>
        <w:tc>
          <w:tcPr>
            <w:tcW w:type="dxa" w:w="776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Штанговое оборудование, насос, НКТ и релевантные поля; электрические блоки не требовать без фактической применимости.</w:t>
            </w:r>
          </w:p>
        </w:tc>
      </w:tr>
      <w:tr>
        <w:tc>
          <w:tcPr>
            <w:tcW w:type="dxa" w:w="204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ЭЦН</w:t>
            </w:r>
          </w:p>
        </w:tc>
        <w:tc>
          <w:tcPr>
            <w:tcW w:type="dxa" w:w="776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Насос, двигатель, кабель, удлинитель, гидрозащита, ТМС, НКТ.</w:t>
            </w:r>
          </w:p>
        </w:tc>
      </w:tr>
      <w:tr>
        <w:tc>
          <w:tcPr>
            <w:tcW w:type="dxa" w:w="204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ЭВН</w:t>
            </w:r>
          </w:p>
        </w:tc>
        <w:tc>
          <w:tcPr>
            <w:tcW w:type="dxa" w:w="776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Релевантные насосные/электрические блоки по принятой комплектации.</w:t>
            </w:r>
          </w:p>
        </w:tc>
      </w:tr>
      <w:tr>
        <w:tc>
          <w:tcPr>
            <w:tcW w:type="dxa" w:w="204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ШВН</w:t>
            </w:r>
          </w:p>
        </w:tc>
        <w:tc>
          <w:tcPr>
            <w:tcW w:type="dxa" w:w="776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Винтовой насос и релевантная комплектация; не требовать неиспользуемые узлы.</w:t>
            </w:r>
          </w:p>
        </w:tc>
      </w:tr>
      <w:tr>
        <w:tc>
          <w:tcPr>
            <w:tcW w:type="dxa" w:w="204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НПУ-ВД / УПЛД</w:t>
            </w:r>
          </w:p>
        </w:tc>
        <w:tc>
          <w:tcPr>
            <w:tcW w:type="dxa" w:w="776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Только применимые блоки по фактическому способу.</w:t>
            </w:r>
          </w:p>
        </w:tc>
      </w:tr>
      <w:tr>
        <w:tc>
          <w:tcPr>
            <w:tcW w:type="dxa" w:w="204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ФОН</w:t>
            </w:r>
          </w:p>
        </w:tc>
        <w:tc>
          <w:tcPr>
            <w:tcW w:type="dxa" w:w="776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Блок фонтанной добычи + НКТ/устье/прочие фактически применимые поля; не требовать погружной электродвигатель, кабель и т. п.</w:t>
            </w:r>
          </w:p>
        </w:tc>
      </w:tr>
      <w:tr>
        <w:tc>
          <w:tcPr>
            <w:tcW w:type="dxa" w:w="204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ОРД</w:t>
            </w:r>
          </w:p>
        </w:tc>
        <w:tc>
          <w:tcPr>
            <w:tcW w:type="dxa" w:w="776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Позволить несколько типоразмеров ГНО; применимость полного набора оборудования определять по фактически указанным типам/составу.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Логика сохранения и жизненный цикл события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Кнопка «Сохранить черновик» сохраняет любое частичное заполнение без требования закончить карточку.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Кнопка «Сохранить оперативно» проверяет только оперативный минимум и создаёт/обновляет событие со статусом «Только оперативный ввод».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Кнопка «Сохранить полную карточку» сохраняет все введённые данные и пересчитывает процент.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Кнопка «Утвердить» доступна по действующей логике утверждения; утверждение не должно автоматически означать 100% заполнения, если данных фактически не хватает. Показывать оба состояния отдельно.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При закрытии формы с несохранёнными изменениями — предупреждение с вариантами «Сохранить», «Не сохранять», «Вернуться».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После сохранения список предыстории обновляется без полного перезапуска вкладки.</w:t>
      </w:r>
    </w:p>
    <w:p>
      <w:pPr>
        <w:pStyle w:val="Heading1"/>
        <w:keepNext/>
      </w:pPr>
      <w:r>
        <w:t>8. Источник данных и трассируемость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721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7087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фиксировать</w:t>
            </w:r>
          </w:p>
        </w:tc>
      </w:tr>
      <w:tr>
        <w:tc>
          <w:tcPr>
            <w:tcW w:type="dxa" w:w="272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Импорт Excel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«Excel · &lt;имя файла&gt; · &lt;лист&gt; · строка N · дата импорта».</w:t>
            </w:r>
          </w:p>
        </w:tc>
      </w:tr>
      <w:tr>
        <w:tc>
          <w:tcPr>
            <w:tcW w:type="dxa" w:w="272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Ручной ввод</w:t>
            </w:r>
          </w:p>
        </w:tc>
        <w:tc>
          <w:tcPr>
            <w:tcW w:type="dxa" w:w="708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«Ручной ввод · &lt;дата/время&gt; · &lt;пользователь&gt;».</w:t>
            </w:r>
          </w:p>
        </w:tc>
      </w:tr>
      <w:tr>
        <w:tc>
          <w:tcPr>
            <w:tcW w:type="dxa" w:w="2721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Доработка импортированного</w:t>
            </w:r>
          </w:p>
        </w:tc>
        <w:tc>
          <w:tcPr>
            <w:tcW w:type="dxa" w:w="7087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Сохранять исходный импорт + отдельную запись о ручном изменении.</w:t>
            </w:r>
          </w:p>
        </w:tc>
      </w:tr>
      <w:tr>
        <w:tc>
          <w:tcPr>
            <w:tcW w:type="dxa" w:w="2721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Утверждение</w:t>
            </w:r>
          </w:p>
        </w:tc>
        <w:tc>
          <w:tcPr>
            <w:tcW w:type="dxa" w:w="7087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Кто и когда утвердил; предыдущий статус не терять.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Поведение кнопок раздела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«Состояние оборудования» — сохранить как заметное основное действие сверху.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«Подгрузить форму отказов» — новый импорт Excel.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«Добавить отказ» — открыть «Ручной ввод отказа», по умолчанию в режиме «Оперативно».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«Анализ по объекту» — анализ выбранного события или нескольких выбранных событий согласно текущей логике.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«Из справочника» — использовать при выборе сложных/множественных значений.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«Справочник» — единый читаемый справочник классификаторов и оборудования.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«Утвердить» — сохранить существующую сквозную логику утверждения рабочего объекта/данных вкладки; не дублировать выбор объекта.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Экспорт события/истории: PDF, XLSX, DOCX — сохранить и не сломать.</w:t>
      </w:r>
    </w:p>
    <w:p>
      <w:pPr>
        <w:pStyle w:val="Heading1"/>
        <w:keepNext/>
      </w:pPr>
      <w:r>
        <w:t>10. Минимальная модель данных для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948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Поле/сущность</w:t>
            </w:r>
          </w:p>
        </w:tc>
        <w:tc>
          <w:tcPr>
            <w:tcW w:type="dxa" w:w="6860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event_id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Стабильный внутренний ID события.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object_key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Глобальный ключ закреплённого объекта.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well / field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Месторождение и № скважины из источника.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source_type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excel / manual / demo.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source_file / sheet / row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Трассируемость импорта.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source_import_id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ID конкретного сеанса импорта.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operational_complete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Заполнен ли минимальный оперативный набор.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has_full_data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Есть ли хотя бы одно содержательное поле полной части.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full_completion_pct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Процент содержательного заполнения применимой полной части.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no_data_count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Количество применимых полей, явно отмеченных «Не выбрано».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investigation_status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Статус расследования.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approval_status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Предварительное / утверждённое.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modified_at / modified_by</w:t>
            </w:r>
          </w:p>
        </w:tc>
        <w:tc>
          <w:tcPr>
            <w:tcW w:type="dxa" w:w="6860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Последнее изменение.</w:t>
            </w:r>
          </w:p>
        </w:tc>
      </w:tr>
      <w:tr>
        <w:tc>
          <w:tcPr>
            <w:tcW w:type="dxa" w:w="2948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field_audit</w:t>
            </w:r>
          </w:p>
        </w:tc>
        <w:tc>
          <w:tcPr>
            <w:tcW w:type="dxa" w:w="6860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История изменений критичных полей/конфликтов импорта.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Алгоритм расчёта статуса события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оперативный минимум заполнен и full_completion_pct = 0 → «Только оперативный ввод» (янтарный бейдж).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full_completion_pct &gt; 0 и &lt; 100 → «Полная карточка: N%» + компактный прогресс-бар.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full_completion_pct = 100 → «Полная карточка заполнена» (зелёный статус полноты).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Отдельно поверх этого показывать «Предварительное / утверждённое» и статус расследования. Не смешивать полноту и юридический/технологический статус.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Если есть ошибки формата/конфликт данных → отдельный красный индикатор «Требует проверки», не заменяющий основное состояние.</w:t>
      </w:r>
    </w:p>
    <w:p>
      <w:pPr>
        <w:pStyle w:val="Heading1"/>
        <w:keepNext/>
      </w:pPr>
      <w:r>
        <w:t>12. Обязательные сценарии тестирования 588-RC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665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Тест</w:t>
            </w:r>
          </w:p>
        </w:tc>
        <w:tc>
          <w:tcPr>
            <w:tcW w:type="dxa" w:w="7143"/>
            <w:vAlign w:val="center"/>
            <w:shd w:fill="17365D"/>
            <w:tcBorders>
              <w:bottom w:val="single" w:sz="6" w:color="FFFFF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Импорт только оперативной строки</w:t>
            </w:r>
          </w:p>
        </w:tc>
        <w:tc>
          <w:tcPr>
            <w:tcW w:type="dxa" w:w="7143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Событие появляется; янтарный бейдж «Только оперативный ввод»; источник корректный; без дублей.</w:t>
            </w:r>
          </w:p>
        </w:tc>
      </w:tr>
      <w:tr>
        <w:tc>
          <w:tcPr>
            <w:tcW w:type="dxa" w:w="2665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Импорт полной строки</w:t>
            </w:r>
          </w:p>
        </w:tc>
        <w:tc>
          <w:tcPr>
            <w:tcW w:type="dxa" w:w="7143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Заполнены детальные поля; процент рассчитан по применимым полям.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Повторный импорт того же файла</w:t>
            </w:r>
          </w:p>
        </w:tc>
        <w:tc>
          <w:tcPr>
            <w:tcW w:type="dxa" w:w="7143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Новые дубли не создаются.</w:t>
            </w:r>
          </w:p>
        </w:tc>
      </w:tr>
      <w:tr>
        <w:tc>
          <w:tcPr>
            <w:tcW w:type="dxa" w:w="2665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Импорт изменённого файла</w:t>
            </w:r>
          </w:p>
        </w:tc>
        <w:tc>
          <w:tcPr>
            <w:tcW w:type="dxa" w:w="7143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Пустые поля дозаполняются; конфликт заполненных полей не перетирается молча.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ОРД</w:t>
            </w:r>
          </w:p>
        </w:tc>
        <w:tc>
          <w:tcPr>
            <w:tcW w:type="dxa" w:w="7143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Типоразмер 1 + 2–4; списки работают; не-ОРД не предлагает содержательные дополнительные варианты.</w:t>
            </w:r>
          </w:p>
        </w:tc>
      </w:tr>
      <w:tr>
        <w:tc>
          <w:tcPr>
            <w:tcW w:type="dxa" w:w="2665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«Не выбрано»</w:t>
            </w:r>
          </w:p>
        </w:tc>
        <w:tc>
          <w:tcPr>
            <w:tcW w:type="dxa" w:w="7143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Есть первым вариантом во всех справочных полях; не повышает содержательный процент.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Ручной производитель/типоразмер</w:t>
            </w:r>
          </w:p>
        </w:tc>
        <w:tc>
          <w:tcPr>
            <w:tcW w:type="dxa" w:w="7143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Добавляется в справочник без дубля и доступен при следующем вводе.</w:t>
            </w:r>
          </w:p>
        </w:tc>
      </w:tr>
      <w:tr>
        <w:tc>
          <w:tcPr>
            <w:tcW w:type="dxa" w:w="2665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ФОН</w:t>
            </w:r>
          </w:p>
        </w:tc>
        <w:tc>
          <w:tcPr>
            <w:tcW w:type="dxa" w:w="7143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Доступны фонтанные поля; нерелевантные электрические поля не уменьшают процент.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Единицы</w:t>
            </w:r>
          </w:p>
        </w:tc>
        <w:tc>
          <w:tcPr>
            <w:tcW w:type="dxa" w:w="7143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Длина НКТ/кабеля/удлинителя/глубина — м; сечения — мм²; габариты — мм; МРП — сут.</w:t>
            </w:r>
          </w:p>
        </w:tc>
      </w:tr>
      <w:tr>
        <w:tc>
          <w:tcPr>
            <w:tcW w:type="dxa" w:w="2665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Перезакрепление объекта</w:t>
            </w:r>
          </w:p>
        </w:tc>
        <w:tc>
          <w:tcPr>
            <w:tcW w:type="dxa" w:w="7143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Импорт/ручной ввод не ломает глобальный ключ; предупреждения и возврат работают.</w:t>
            </w:r>
          </w:p>
        </w:tc>
      </w:tr>
      <w:tr>
        <w:tc>
          <w:tcPr>
            <w:tcW w:type="dxa" w:w="2665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Экспорт</w:t>
            </w:r>
          </w:p>
        </w:tc>
        <w:tc>
          <w:tcPr>
            <w:tcW w:type="dxa" w:w="7143"/>
            <w:vAlign w:val="center"/>
            <w:shd w:fill="FFFFFF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PDF/XLSX/DOCX события и истории формируются без падения.</w:t>
            </w:r>
          </w:p>
        </w:tc>
      </w:tr>
      <w:tr>
        <w:tc>
          <w:tcPr>
            <w:tcW w:type="dxa" w:w="2665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UI resize</w:t>
            </w:r>
          </w:p>
        </w:tc>
        <w:tc>
          <w:tcPr>
            <w:tcW w:type="dxa" w:w="7143"/>
            <w:vAlign w:val="center"/>
            <w:shd w:fill="F7FAFC"/>
            <w:tcBorders>
              <w:bottom w:val="single" w:sz="4" w:color="D8E0E8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Нет обрезаний/наложений при сворачивании, разворачивании и разных размерах окна.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Приёмочные критерии релиза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Пользователь может загрузить текущую Excel-форму отказов из вкладки «Фонд и карточка скважины» одним действием.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Импорт не создаёт второй механизм выбора объекта и не ломает закреплённый объект.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События только из оперативного блока визуально отличимы без открытия карточки.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У каждого события с полной частью виден корректный процент, рассчитанный только по применимым детальным полям.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Ручной ввод покрывает весь состав текущей Excel-формы и не требует помнить справочные формулировки.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Практически все категориальные поля имеют поисковые выпадающие списки; числовые, даты, комментарии и документы остаются свободным вводом по смыслу.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«Не выбрано» доступно в каждом списке и не считается содержательно заполненным значением.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Все единицы измерения вынесены в шапки полей; нет неоднозначных «длина», «глубина», «размер» без единиц там, где физическая величина требует единицы.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Пользовательские изменения справочников сохраняются и не создают дубли.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Повторный импорт безопасен; все изменения трассируются.</w:t>
      </w:r>
    </w:p>
    <w:p>
      <w:pPr>
        <w:pStyle w:val="ListBullet"/>
        <w:spacing w:after="50" w:line="252" w:lineRule="auto"/>
      </w:pPr>
      <w:r>
        <w:rPr>
          <w:rFonts w:ascii="Arial" w:hAnsi="Arial"/>
          <w:b w:val="0"/>
          <w:i w:val="0"/>
          <w:color w:val="1F2937"/>
          <w:sz w:val="21"/>
        </w:rPr>
        <w:t>Никаких регрессий приветствия, загрузки, шапки, глобального закрепления объекта, лабораторки и уже работающих вкладок.</w:t>
      </w:r>
    </w:p>
    <w:p>
      <w:pPr>
        <w:pStyle w:val="Heading1"/>
        <w:keepNext/>
      </w:pPr>
      <w:r>
        <w:t>14. Последовательность реализации — выполнять именно в таком порядке</w:t>
      </w:r>
    </w:p>
    <w:p>
      <w:pPr>
        <w:pStyle w:val="ListNumber"/>
        <w:spacing w:after="50" w:line="252" w:lineRule="auto"/>
      </w:pPr>
      <w:r>
        <w:t>Зафиксировать 7.3.11.587-RC как последнюю выпущенную контрольную версию и отдельно сохранить текущую незавершённую 588-RC как рабочую точку перед доработкой. Сначала определить уже внесённые изменения 588; не откатывать их автоматически.</w:t>
      </w:r>
    </w:p>
    <w:p>
      <w:pPr>
        <w:pStyle w:val="ListNumber"/>
        <w:spacing w:after="50" w:line="252" w:lineRule="auto"/>
      </w:pPr>
      <w:r>
        <w:t>Сделать резервную копию внутренней базы/хранилища 588 и проверить, что существующие события, статусы и object_key читаются до миграции.</w:t>
      </w:r>
    </w:p>
    <w:p>
      <w:pPr>
        <w:pStyle w:val="ListNumber"/>
        <w:spacing w:after="50" w:line="252" w:lineRule="auto"/>
      </w:pPr>
      <w:r>
        <w:t>ВНЕ ОЧЕРЕДИ добавить/завершить модель импорта формы отказов и журнал источников без изменения приветствия, загрузки, шапки и глобальной логики выбора объекта.</w:t>
      </w:r>
    </w:p>
    <w:p>
      <w:pPr>
        <w:pStyle w:val="ListNumber"/>
        <w:spacing w:after="50" w:line="252" w:lineRule="auto"/>
      </w:pPr>
      <w:r>
        <w:t>Реализовать разбор Excel «Оперативный ввод» / «История отказов», сопоставление объектов, fingerprint, дедупликацию и безопасное дозаполнение без молчаливого перезаписывания ручных/утверждённых полей.</w:t>
      </w:r>
    </w:p>
    <w:p>
      <w:pPr>
        <w:pStyle w:val="ListNumber"/>
        <w:spacing w:after="50" w:line="252" w:lineRule="auto"/>
      </w:pPr>
      <w:r>
        <w:t>Добавить в таблицу предыстории статусы «Только оперативный ввод», «Полная карточка: N%», «Полная карточка заполнена», а также отдельный индикатор «Требует проверки» для конфликтов/ошибок.</w:t>
      </w:r>
    </w:p>
    <w:p>
      <w:pPr>
        <w:pStyle w:val="ListNumber"/>
        <w:spacing w:after="50" w:line="252" w:lineRule="auto"/>
      </w:pPr>
      <w:r>
        <w:t>Реализовать применимость полей по способу эксплуатации и расчёт full_completion_pct / no_data_count; «Не выбрано» и пустые значения не должны повышать содержательную полноту.</w:t>
      </w:r>
    </w:p>
    <w:p>
      <w:pPr>
        <w:pStyle w:val="ListNumber"/>
        <w:spacing w:after="50" w:line="252" w:lineRule="auto"/>
      </w:pPr>
      <w:r>
        <w:t>Переработать «Ручной ввод отказа» на режимы «Оперативно» и «Полная карточка», подключить справочники, динамические зависимости, ручное расширение без дублей и ОРД с основным + тремя дополнительными типоразмерами.</w:t>
      </w:r>
    </w:p>
    <w:p>
      <w:pPr>
        <w:pStyle w:val="ListNumber"/>
        <w:spacing w:after="50" w:line="252" w:lineRule="auto"/>
      </w:pPr>
      <w:r>
        <w:t>Проверить единицы измерения, трассируемость источников, журнал изменений, обновление предыстории без перезапуска и экспорт PDF/XLSX/DOCX.</w:t>
      </w:r>
    </w:p>
    <w:p>
      <w:pPr>
        <w:pStyle w:val="ListNumber"/>
        <w:spacing w:after="50" w:line="252" w:lineRule="auto"/>
      </w:pPr>
      <w:r>
        <w:t>Выполнить обязательные сценарии тестирования раздела и полный регрессионный прогон относительно 587, включая авторизацию, перезакрепление объекта, изменение размера окна, лабораторку и уже работающие вкладки.</w:t>
      </w:r>
    </w:p>
    <w:p>
      <w:pPr>
        <w:pStyle w:val="ListNumber"/>
        <w:spacing w:after="50" w:line="252" w:lineRule="auto"/>
      </w:pPr>
      <w:r>
        <w:t>Только после успешной приёмки зафиксировать 7.3.11.588-RC как завершённую сборку. После этого вернуться к основной очереди развития; до этого 589 не начинать.</w:t>
      </w:r>
    </w:p>
    <w:p>
      <w:pPr>
        <w:pStyle w:val="Heading1"/>
        <w:keepNext/>
      </w:pPr>
      <w:r>
        <w:t>15. Краткое техническое задание для исполнителя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10312"/>
            <w:shd w:fill="F3F6F9"/>
            <w:tcBorders>
              <w:top w:val="nil"/>
              <w:left w:val="single" w:sz="16" w:color="17365D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ТЗ. Продолжи текущую незавершённую сборку РОСА 7.3.11.588-RC. Последняя выпущенная и контрольная стабильная версия — 7.3.11.587-RC: используй её для регрессионного сравнения и как резерв отката, но НЕ пересоздавай 588 с нуля и не откатывай уже работающие изменения текущей 588. Доработку учёта отказов выполнить ВНЕ ОЧЕРЕДИ и завершить до перехода к следующим пунктам технического задания или к 589. Не изменяй приветственное окно, экран загрузки и утверждённую шапку. Не создавай вторую точку выбора фонда: рабочий объект по-прежнему выбирается и закрепляется только на «Главной». Во вкладке «1. Фонд и карточка скважины» добавь/заверши штатную кнопку «Подгрузить форму отказов» для приложенной Excel-формы базы отказов. Импортируй листы «Оперативный ввод» и «История отказов» в единую историю событий. Сохраняй файл, лист, строку, сеанс импорта и пользователя; используй fingerprint и не создавай дубли при повторной загрузке. Если событие уже вручную дополнено или утверждено, импорт может автоматически заполнить только пустые поля; конфликт уже заполненного значения показывай как «текущее / из файла» и не перезаписывай без подтверждения. Событие, заполненное только по оперативному блоку, показывай мягким янтарным статусом «Только оперативный ввод». Для детальной части показывай «Полная карточка: N%», а при 100% — «Полная карточка заполнена». Процент считай только по применимым содержательным полям полной части расследования, комплектации и комиссии; исключай зеркальные поля оперативного блока, автополя, технические поля и неприменимое оборудование. Пустые значения и «Не выбрано» не повышают процент; отдельно показывай «Нет данных: N». Утверждённость расследования не смешивай с полнотой карточки. Переработай «Ручной ввод отказа»: два режима «Оперативно» и «Полная карточка» без потери введённых значений; блоки «Основное событие», «Предварительная оценка», «Полное расследование», «Комплектация оборудования», «Заключение комиссии», «Фонтанная добыча — если применимо». Почти все категориальные поля должны быть поисковыми и зависимыми справочниками; «Не выбрано» — первый вариант каждого списка; пустых строк в списках не показывать. Для допустимых расширяемых значений разреши ручное добавление в справочник после нормализации и проверки дубля. Для ОРД оставь основной типоразмер ГНО и до трёх дополнительных. Все физические величины подписывай единицами: МРП — сут., длины и глубина — м, сечения — мм², габариты — мм. Сохрани существующие действия «Состояние оборудования», «Анализ по объекту», «Добавить отказ», «Из справочника», «Справочник», «Утвердить» и экспорт PDF/XLSX/DOCX. Перед миграцией модели данных сделай резервную копию базы 588 и не теряй существующие события, статусы, object_key и аудит. После реализации выполни обязательные тесты этого документа и полный регрессионный прогон относительно 587. Только после успешной приёмки считать 588-RC завершённой; затем вернуться к основной очереди развития РОСА.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6"/>
      </w:rPr>
      <w:t>РОСА · 7.3.11.588-RC · Техническое задание · Фонд и карточка скважины</w:t>
    </w:r>
  </w:p>
  <w:p>
    <w:pPr>
      <w:jc w:val="right"/>
    </w:pPr>
    <w:r>
      <w:rPr>
        <w:rFonts w:ascii="Arial" w:hAnsi="Arial"/>
        <w:b w:val="0"/>
        <w:i w:val="0"/>
        <w:color w:val="6B7280"/>
        <w:sz w:val="16"/>
      </w:rPr>
      <w:t xml:space="preserve">Стр.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РОСА 7.3.11.588-RC — импорт формы отказов и ручной ввод</dc:title>
  <dc:subject>Техническое задание по доработке раздела «Фонд и карточка скважины»</dc:subject>
  <dc:creator/>
  <cp:keywords>РОСА, 588-RC, отказы, импорт Excel, ручной ввод, справочники</cp:keywords>
  <dc:description>РОСА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