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Poppins" w:hAnsi="Poppins"/>
          <w:sz w:val="28"/>
        </w:rPr>
        <w:t>Revinn Estratégias</w:t>
      </w:r>
    </w:p>
    <w:p>
      <w:pPr>
        <w:jc w:val="center"/>
      </w:pPr>
      <w:r>
        <w:rPr>
          <w:rFonts w:ascii="Inter" w:hAnsi="Inter"/>
          <w:sz w:val="22"/>
        </w:rPr>
        <w:t>Departamento de Consultoria</w:t>
      </w:r>
    </w:p>
    <w:p/>
    <w:p/>
    <w:p/>
    <w:p>
      <w:pPr>
        <w:jc w:val="center"/>
      </w:pPr>
      <w:r>
        <w:rPr>
          <w:rFonts w:ascii="Poppins" w:hAnsi="Poppins"/>
          <w:b/>
          <w:sz w:val="36"/>
        </w:rPr>
        <w:t>LUDS COMFORT HOTEL</w:t>
      </w:r>
    </w:p>
    <w:p>
      <w:pPr>
        <w:jc w:val="center"/>
      </w:pPr>
      <w:r>
        <w:rPr>
          <w:rFonts w:ascii="Poppins" w:hAnsi="Poppins"/>
          <w:sz w:val="28"/>
        </w:rPr>
        <w:t>RELATÓRIO DE KPI MENSAL - Maio 2026</w:t>
      </w:r>
    </w:p>
    <w:p/>
    <w:p/>
    <w:p/>
    <w:p/>
    <w:p>
      <w:pPr>
        <w:jc w:val="center"/>
      </w:pPr>
      <w:r>
        <w:rPr>
          <w:rFonts w:ascii="Inter" w:hAnsi="Inter"/>
          <w:sz w:val="22"/>
        </w:rPr>
        <w:t>São Paulo</w:t>
        <w:br/>
        <w:t>2026</w:t>
      </w:r>
    </w:p>
    <w:p>
      <w:r>
        <w:br w:type="page"/>
      </w:r>
    </w:p>
    <w:p>
      <w:pPr>
        <w:pStyle w:val="Heading1"/>
      </w:pPr>
      <w:r>
        <w:t>Check-outs por Categoria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Categoria</w:t>
            </w:r>
          </w:p>
        </w:tc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ADR</w:t>
            </w:r>
          </w:p>
        </w:tc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LOS</w:t>
            </w:r>
          </w:p>
        </w:tc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Receita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Luxo Superior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R$ 1.809,73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2.64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R$ 4.956.848,03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Luxo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R$ 1.469,94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2.42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R$ 3.251.507,01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Standard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R$ 1.360,17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2.53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R$ 2.721.700,69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Quarto Luxo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R$ 1.207,30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2.44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R$ 2.524.460,48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Master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R$ 2.242,19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2.65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R$ 446.195,87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Luxo Vista Castelo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R$ 2.004,87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2.63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R$ 200.486,94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Luxo Vista Lateral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R$ 1.791,29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2.63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R$ 141.512,21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Super Master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R$ 2.778,88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2.64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R$ 80.587,64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Quarto Luxo Superior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R$ 2.060,91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2.38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R$ 39.157,23</w:t>
            </w:r>
          </w:p>
        </w:tc>
      </w:tr>
      <w:tr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R$ 1.516,79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2.52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R$ 14.362.456,10</w:t>
            </w:r>
          </w:p>
        </w:tc>
      </w:tr>
    </w:tbl>
    <w:p>
      <w:pPr>
        <w:jc w:val="left"/>
      </w:pPr>
      <w:r>
        <w:rPr>
          <w:rFonts w:ascii="Inter" w:hAnsi="Inter"/>
          <w:b/>
          <w:sz w:val="18"/>
        </w:rPr>
        <w:t>RN's: 9469; Renda Total R$ 14.362.456,10</w:t>
      </w:r>
    </w:p>
    <w:p>
      <w:r>
        <w:br w:type="page"/>
      </w:r>
    </w:p>
    <w:p>
      <w:pPr>
        <w:pStyle w:val="Heading1"/>
      </w:pPr>
      <w:r>
        <w:t>Check-outs por Canal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Canal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Receita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Reservas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LOS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ADR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ADS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Share (%)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BE Mobile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R$ 8.448.406,01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2354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2.42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R$ 1.482,18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39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58.82%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Booking Engine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R$ 3.861.745,01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911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2.69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R$ 1.575,58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44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26.89%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Booking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R$ 1.220.304,14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282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2.62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R$ 1.653,53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54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8.50%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Expedia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R$ 448.055,36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121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2.58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R$ 1.436,07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62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3.12%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Hotelbeds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R$ 152.155,87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3.45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R$ 1.334,70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45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1.06%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Despegar-PAM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R$ 116.882,54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2.42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R$ 1.461,03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50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0.81%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TARIFA MOTOR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R$ 53.289,70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3.08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R$ 1.440,26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107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0.37%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Litoral Verde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R$ 32.507,25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6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3.00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R$ 1.805,96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0.23%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Trend Dynamics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R$ 18.593,41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2.75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R$ 1.690,31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85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0.13%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BookStay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R$ 9.374,41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2.33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R$ 1.339,20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80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0.07%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Flytour Business Travel - TMC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R$ 1.142,40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1.00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R$ 1.142,40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0.01%</w:t>
            </w:r>
          </w:p>
        </w:tc>
      </w:tr>
      <w:tr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R$ 14.362.456,10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3760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2.52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R$ 1.516,79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57,4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b/>
                <w:sz w:val="18"/>
              </w:rPr>
              <w:t>100,00%</w:t>
            </w:r>
          </w:p>
        </w:tc>
      </w:tr>
    </w:tbl>
    <w:p>
      <w:pPr>
        <w:jc w:val="left"/>
      </w:pPr>
      <w:r>
        <w:rPr>
          <w:rFonts w:ascii="Inter" w:hAnsi="Inter"/>
          <w:b/>
          <w:sz w:val="18"/>
        </w:rPr>
        <w:t>RN's: 9469; Renda Total R$ 14.362.456,10</w:t>
      </w:r>
    </w:p>
    <w:p>
      <w:r>
        <w:br w:type="page"/>
      </w:r>
    </w:p>
    <w:p>
      <w:pPr>
        <w:pStyle w:val="Heading1"/>
      </w:pPr>
      <w:r>
        <w:t>Reservas Emitidas por Canal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Canal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Receita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Reservas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LOS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ADR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ADS</w:t>
            </w:r>
          </w:p>
        </w:tc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Share (%)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BE Mobile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R$ 6.991.857,52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2228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2.29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R$ 1.369,07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57.52%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Booking Engine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R$ 3.255.618,02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874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2.54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R$ 1.467,82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43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26.78%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Booking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R$ 1.216.462,79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305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2.40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R$ 1.661,83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57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10.01%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Expedia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R$ 444.324,48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124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2.55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R$ 1.406,09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82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3.66%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Hotelbeds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R$ 125.079,95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42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2.50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R$ 1.191,24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108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1.03%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Despegar-PAM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R$ 65.905,71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2.42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R$ 1.136,31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0.54%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Litoral Verde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R$ 16.400,48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2.75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R$ 1.490,95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0.13%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BookStay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R$ 15.057,41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3.33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R$ 1.505,74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49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0.12%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Infinitas Travel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R$ 10.600,80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2.00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R$ 1.325,10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63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0.09%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Trend Dynamics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R$ 7.585,20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2.00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R$ 1.264,20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0.06%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BRT online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R$ 5.092,08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2.00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R$ 2.546,04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48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0.04%</w:t>
            </w:r>
          </w:p>
        </w:tc>
      </w:tr>
      <w:tr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Flytour Business Travel - TMC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R$ 1.142,40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1.00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R$ 1.142,40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33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0.01%</w:t>
            </w:r>
          </w:p>
        </w:tc>
      </w:tr>
      <w:tr>
        <w:tc>
          <w:tcPr>
            <w:tcW w:type="dxa" w:w="1234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b/>
                <w:sz w:val="18"/>
              </w:rPr>
              <w:t>R$ 12.155.126,84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b/>
                <w:sz w:val="18"/>
              </w:rPr>
              <w:t>3613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b/>
                <w:sz w:val="18"/>
              </w:rPr>
              <w:t>2.37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b/>
                <w:sz w:val="18"/>
              </w:rPr>
              <w:t>R$ 1.417,67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b/>
                <w:sz w:val="18"/>
              </w:rPr>
              <w:t>50,1</w:t>
            </w:r>
          </w:p>
        </w:tc>
        <w:tc>
          <w:tcPr>
            <w:tcW w:type="dxa" w:w="12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b/>
                <w:sz w:val="18"/>
              </w:rPr>
              <w:t>100,00%</w:t>
            </w:r>
          </w:p>
        </w:tc>
      </w:tr>
    </w:tbl>
    <w:p>
      <w:pPr>
        <w:jc w:val="left"/>
      </w:pPr>
      <w:r>
        <w:rPr>
          <w:rFonts w:ascii="Inter" w:hAnsi="Inter"/>
          <w:b/>
          <w:sz w:val="18"/>
        </w:rPr>
        <w:t>RN's: 8574; Renda Total R$ 12.155.126,84</w:t>
      </w:r>
    </w:p>
    <w:p>
      <w:r>
        <w:br w:type="page"/>
      </w:r>
    </w:p>
    <w:p>
      <w:pPr>
        <w:pStyle w:val="Heading1"/>
      </w:pPr>
      <w:r>
        <w:t>Climber | YoY Mensal</w:t>
      </w:r>
    </w:p>
    <w:p>
      <w:pPr>
        <w:pStyle w:val="Heading2"/>
      </w:pPr>
      <w:r>
        <w:t>Evolução Diária (Linhas)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06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Comparativo de Fechamento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493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9300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834640" cy="2449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4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Tabela de Fechamento Consolidado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Ano Atual</w:t>
            </w:r>
          </w:p>
        </w:tc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Ano Passado</w:t>
            </w:r>
          </w:p>
        </w:tc>
        <w:tc>
          <w:tcPr>
            <w:tcW w:type="dxa" w:w="2160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Variação (%)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Ocupação (%)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35,00%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70,00%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-50.00%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ADR (R$)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R$ 228,33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R$ 252,31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-9.50%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Receita (R$)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R$ 211.431,00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R$ 473.331,00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-55.33%</w:t>
            </w:r>
          </w:p>
        </w:tc>
      </w:tr>
    </w:tbl>
    <w:p>
      <w:pPr>
        <w:jc w:val="left"/>
      </w:pPr>
      <w:r>
        <w:rPr>
          <w:rFonts w:ascii="Inter" w:hAnsi="Inter"/>
          <w:i/>
          <w:sz w:val="16"/>
        </w:rPr>
        <w:t>* Nota: A Tabela de Fechamento Consolidado baseia-se na comparação do mesmo período (mês/dias equivalentes) entre o ano atual e o ano anterior (Year-over-Year).</w:t>
      </w:r>
    </w:p>
    <w:p>
      <w:r>
        <w:br w:type="page"/>
      </w:r>
    </w:p>
    <w:p>
      <w:pPr>
        <w:pStyle w:val="Heading2"/>
      </w:pPr>
      <w:r>
        <w:t>Detalhamento Diário YoY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Data</w:t>
            </w:r>
          </w:p>
        </w:tc>
        <w:tc>
          <w:tcPr>
            <w:tcW w:type="dxa" w:w="1728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Ocupação (%)</w:t>
            </w:r>
          </w:p>
        </w:tc>
        <w:tc>
          <w:tcPr>
            <w:tcW w:type="dxa" w:w="1728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ADR (R$)</w:t>
            </w:r>
          </w:p>
        </w:tc>
        <w:tc>
          <w:tcPr>
            <w:tcW w:type="dxa" w:w="1728"/>
            <w:shd w:fill="159F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Poppins" w:hAnsi="Poppins"/>
                <w:color w:val="FFFFFF"/>
                <w:sz w:val="20"/>
              </w:rPr>
              <w:t>RevPAR (R$)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01/05/2026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Ano Atual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27.00%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R$ 260,35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R$ 71,28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01/05/2026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Ano Passado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nan%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02/05/2026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Ano Atual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27.00%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R$ 260,29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R$ 71,37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02/05/2026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Ano Passado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nan%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03/05/2026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Ano Atual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27.00%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R$ 260,36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R$ 71,52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03/05/2026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Ano Passado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nan%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04/05/2026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Ano Atual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28.00%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R$ 260,23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R$ 71,70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04/05/2026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Ano Passado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nan%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05/05/2026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Ano Atual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28.00%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R$ 260,38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R$ 72,24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05/05/2026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Ano Passado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nan%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8E8E8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06/05/2026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Ano Atual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28.00%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R$ 260,48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R$ 72,36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159F92"/>
          </w:tcPr>
          <w:p>
            <w:r>
              <w:rPr>
                <w:rFonts w:ascii="Inter" w:hAnsi="Inter"/>
                <w:color w:val="FFFFFF"/>
                <w:sz w:val="18"/>
              </w:rPr>
              <w:t>06/05/2026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Ano Passado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nan%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FFFFF"/>
          </w:tcPr>
          <w:p>
            <w:r>
              <w:rPr>
                <w:rFonts w:ascii="Inter" w:hAnsi="Inter"/>
                <w:sz w:val="18"/>
              </w:rPr>
              <w:t>R$ nan</w:t>
            </w:r>
          </w:p>
        </w:tc>
      </w:tr>
    </w:tbl>
    <w:p>
      <w:r>
        <w:br w:type="page"/>
      </w:r>
    </w:p>
    <w:p>
      <w:pPr>
        <w:pStyle w:val="Heading1"/>
      </w:pPr>
      <w:r>
        <w:t>Notas &amp; Ranking (Last 90) | Booking.com</w:t>
      </w:r>
    </w:p>
    <w:p>
      <w:r>
        <w:br w:type="page"/>
      </w:r>
    </w:p>
    <w:p>
      <w:pPr>
        <w:pStyle w:val="Heading1"/>
      </w:pPr>
      <w:r>
        <w:t>Performance (Last 90) | Expedia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rFonts w:ascii="Poppins" w:hAnsi="Poppins"/>
          <w:b/>
          <w:sz w:val="28"/>
        </w:rPr>
        <w:t>Revinn Estratégias</w:t>
      </w:r>
    </w:p>
    <w:p>
      <w:pPr>
        <w:jc w:val="center"/>
      </w:pPr>
      <w:r>
        <w:rPr>
          <w:rFonts w:ascii="Inter" w:hAnsi="Inter"/>
          <w:sz w:val="22"/>
        </w:rPr>
        <w:t>Consultoria e Estratégia Hoteleira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sz w:val="18"/>
      </w:rPr>
      <w:t>Revinn Estratégias © Copyright – Todos os direitos reservados.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sz w:val="18"/>
      </w:rPr>
      <w:t xml:space="preserve">Revinn Estratégias © Copyright – Todos os direitos reservados. | Página </w:t>
    </w:r>
    <w:r>
      <w:rPr>
        <w:rFonts w:ascii="Inter" w:hAnsi="Inter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Poppins" w:hAnsi="Poppins"/>
      <w:b/>
      <w:bCs/>
      <w:color w:val="0051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 w:ascii="Poppins" w:hAnsi="Poppins"/>
      <w:b/>
      <w:bCs/>
      <w:color w:val="005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