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3864"/>
          <w:sz w:val="32"/>
          <w:szCs w:val="32"/>
        </w:rPr>
        <w:t xml:space="preserve">TALLER PRÁCTICO</w:t>
      </w:r>
    </w:p>
    <w:p>
      <w:pPr>
        <w:spacing w:after="400"/>
        <w:jc w:val="center"/>
      </w:pPr>
      <w:r>
        <w:rPr>
          <w:b/>
          <w:bCs/>
          <w:color w:val="1F3864"/>
          <w:sz w:val="40"/>
          <w:szCs w:val="40"/>
        </w:rPr>
        <w:t xml:space="preserve">Puertos, Servicios y Análisis de Tráfico de Red con Wireshark</w:t>
      </w:r>
    </w:p>
    <w:p>
      <w:pPr>
        <w:spacing w:after="120"/>
        <w:jc w:val="center"/>
      </w:pPr>
      <w:r>
        <w:rPr>
          <w:sz w:val="26"/>
          <w:szCs w:val="26"/>
        </w:rPr>
        <w:t xml:space="preserve">Especialización en Seguridad de la Información</w:t>
      </w:r>
    </w:p>
    <w:p>
      <w:pPr>
        <w:spacing w:after="1200"/>
        <w:jc w:val="center"/>
      </w:pPr>
      <w:r>
        <w:rPr>
          <w:i/>
          <w:iCs/>
          <w:sz w:val="24"/>
          <w:szCs w:val="24"/>
        </w:rPr>
        <w:t xml:space="preserve">Curso: Ciberespacio</w:t>
      </w:r>
    </w:p>
    <w:p>
      <w:pPr>
        <w:spacing w:before="20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cantSplit/>
          <w:tblHeader/>
        </w:trPr>
        <w:tc>
          <w:tcPr>
            <w:tcW w:type="dxa" w:w="3009"/>
            <w:shd w:fill="2E5395" w:color="auto" w:val="clear"/>
            <w:tcMar>
              <w:top w:type="dxa" w:w="80"/>
              <w:left w:type="dxa" w:w="100"/>
              <w:bottom w:type="dxa" w:w="80"/>
              <w:right w:type="dxa" w:w="100"/>
            </w:tcMar>
            <w:vAlign w:val="center"/>
          </w:tcPr>
          <w:p>
            <w:r>
              <w:rPr>
                <w:b/>
                <w:bCs/>
                <w:color w:val="FFFFFF"/>
                <w:sz w:val="20"/>
                <w:szCs w:val="20"/>
              </w:rPr>
              <w:t xml:space="preserve">Campo</w:t>
            </w:r>
          </w:p>
        </w:tc>
        <w:tc>
          <w:tcPr>
            <w:tcW w:type="dxa" w:w="6017"/>
            <w:shd w:fill="2E5395" w:color="auto" w:val="clear"/>
            <w:tcMar>
              <w:top w:type="dxa" w:w="80"/>
              <w:left w:type="dxa" w:w="100"/>
              <w:bottom w:type="dxa" w:w="80"/>
              <w:right w:type="dxa" w:w="100"/>
            </w:tcMar>
            <w:vAlign w:val="center"/>
          </w:tcPr>
          <w:p>
            <w:r>
              <w:rPr>
                <w:b/>
                <w:bCs/>
                <w:color w:val="FFFFFF"/>
                <w:sz w:val="20"/>
                <w:szCs w:val="20"/>
              </w:rPr>
              <w:t xml:space="preserve">Detalle</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Duración</w:t>
            </w:r>
          </w:p>
        </w:tc>
        <w:tc>
          <w:tcPr>
            <w:tcW w:type="dxa" w:w="6017"/>
            <w:tcMar>
              <w:top w:type="dxa" w:w="80"/>
              <w:left w:type="dxa" w:w="100"/>
              <w:bottom w:type="dxa" w:w="80"/>
              <w:right w:type="dxa" w:w="100"/>
            </w:tcMar>
            <w:vAlign w:val="center"/>
          </w:tcPr>
          <w:p>
            <w:r>
              <w:rPr>
                <w:b w:val="false"/>
                <w:bCs w:val="false"/>
                <w:sz w:val="20"/>
                <w:szCs w:val="20"/>
              </w:rPr>
              <w:t xml:space="preserve">5-6 horas de trabajo práctico continuo</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Formato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Un solo recorrido guiado, de principio a fin, con laboratorio Docker integrado</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Nivel</w:t>
            </w:r>
          </w:p>
        </w:tc>
        <w:tc>
          <w:tcPr>
            <w:tcW w:type="dxa" w:w="6017"/>
            <w:tcMar>
              <w:top w:type="dxa" w:w="80"/>
              <w:left w:type="dxa" w:w="100"/>
              <w:bottom w:type="dxa" w:w="80"/>
              <w:right w:type="dxa" w:w="100"/>
            </w:tcMar>
            <w:vAlign w:val="center"/>
          </w:tcPr>
          <w:p>
            <w:r>
              <w:rPr>
                <w:b w:val="false"/>
                <w:bCs w:val="false"/>
                <w:sz w:val="20"/>
                <w:szCs w:val="20"/>
              </w:rPr>
              <w:t xml:space="preserve">Especialización — requiere fundamentos de redes TCP/IP</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Laboratorio</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100% en contenedores Docker (carpeta lab/ del repositorio), sin VM y sin IPs fijas</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Docente</w:t>
            </w:r>
          </w:p>
        </w:tc>
        <w:tc>
          <w:tcPr>
            <w:tcW w:type="dxa" w:w="6017"/>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Estudiante</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_______________________________</w:t>
            </w:r>
          </w:p>
        </w:tc>
      </w:tr>
      <w:tr>
        <w:trPr>
          <w:cantSplit/>
        </w:trPr>
        <w:tc>
          <w:tcPr>
            <w:tcW w:type="dxa" w:w="3009"/>
            <w:tcMar>
              <w:top w:type="dxa" w:w="80"/>
              <w:left w:type="dxa" w:w="100"/>
              <w:bottom w:type="dxa" w:w="80"/>
              <w:right w:type="dxa" w:w="100"/>
            </w:tcMar>
            <w:vAlign w:val="center"/>
          </w:tcPr>
          <w:p>
            <w:r>
              <w:rPr>
                <w:b w:val="false"/>
                <w:bCs w:val="false"/>
                <w:sz w:val="20"/>
                <w:szCs w:val="20"/>
              </w:rPr>
              <w:t xml:space="preserve">Fecha</w:t>
            </w:r>
          </w:p>
        </w:tc>
        <w:tc>
          <w:tcPr>
            <w:tcW w:type="dxa" w:w="6017"/>
            <w:tcMar>
              <w:top w:type="dxa" w:w="80"/>
              <w:left w:type="dxa" w:w="100"/>
              <w:bottom w:type="dxa" w:w="80"/>
              <w:right w:type="dxa" w:w="100"/>
            </w:tcMar>
            <w:vAlign w:val="center"/>
          </w:tcPr>
          <w:p>
            <w:r>
              <w:rPr>
                <w:b w:val="false"/>
                <w:bCs w:val="false"/>
                <w:sz w:val="20"/>
                <w:szCs w:val="20"/>
              </w:rPr>
              <w:t xml:space="preserve">27 de agosto de 2026</w:t>
            </w:r>
          </w:p>
        </w:tc>
      </w:tr>
    </w:tbl>
    <w:p>
      <w:r>
        <w:br w:type="page"/>
      </w:r>
    </w:p>
    <w:p>
      <w:pPr>
        <w:pStyle w:val="Heading1"/>
        <w:spacing w:after="200" w:before="40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before="200"/>
      </w:pPr>
      <w:r>
        <w:rPr>
          <w:i/>
          <w:iCs/>
          <w:sz w:val="18"/>
          <w:szCs w:val="18"/>
        </w:rPr>
        <w:t xml:space="preserve">Nota: haga clic derecho sobre la tabla y seleccione "Actualizar campo" para generar el índice automáticamente al abrir el documento en Word.</w:t>
      </w:r>
    </w:p>
    <w:p>
      <w:r>
        <w:br w:type="page"/>
      </w:r>
    </w:p>
    <w:p>
      <w:pPr>
        <w:pStyle w:val="Heading1"/>
        <w:spacing w:after="200" w:before="400"/>
      </w:pPr>
      <w:r>
        <w:t xml:space="preserve">Introducción</w:t>
      </w:r>
    </w:p>
    <w:p>
      <w:pPr>
        <w:spacing w:after="160"/>
        <w:jc w:val="both"/>
      </w:pPr>
      <w:r>
        <w:t xml:space="preserve">Este es un taller 100% práctico: cada concepto se aplica de inmediato en un laboratorio real (contenedores Docker, sin máquinas virtuales y sin direcciones IP que dependan de la red del estudiante), y cada actividad está pensada como una tarea real de seguridad informática — auditar superficie de ataque, capturar credenciales para demostrar un riesgo, detectar un escaneo, reconstruir un incidente — y no como un ejercicio de redes en abstracto. Las citas técnicas siguen el estilo IEEE ([n], referencias completas al final).</w:t>
      </w:r>
    </w:p>
    <w:p>
      <w:pPr>
        <w:pStyle w:val="Heading2"/>
        <w:spacing w:after="160" w:before="300"/>
      </w:pPr>
      <w:r>
        <w:t xml:space="preserve">Objetivos del taller</w:t>
      </w:r>
    </w:p>
    <w:p>
      <w:pPr>
        <w:pStyle w:val="ListParagraph"/>
        <w:numPr>
          <w:ilvl w:val="0"/>
          <w:numId w:val="1"/>
        </w:numPr>
        <w:spacing w:after="90"/>
      </w:pPr>
      <w:r>
        <w:t xml:space="preserve">Entender qué es un puerto y cómo se clasifican los servicios de red, para poder auditar la superficie de ataque real de un sistema.</w:t>
      </w:r>
    </w:p>
    <w:p>
      <w:pPr>
        <w:pStyle w:val="ListParagraph"/>
        <w:numPr>
          <w:ilvl w:val="0"/>
          <w:numId w:val="1"/>
        </w:numPr>
        <w:spacing w:after="90"/>
      </w:pPr>
      <w:r>
        <w:t xml:space="preserve">Manejar Wireshark con soltura: instalación, filtros de captura y de visualización, seguimiento de flujos y estadísticas.</w:t>
      </w:r>
    </w:p>
    <w:p>
      <w:pPr>
        <w:pStyle w:val="ListParagraph"/>
        <w:numPr>
          <w:ilvl w:val="0"/>
          <w:numId w:val="1"/>
        </w:numPr>
        <w:spacing w:after="90"/>
      </w:pPr>
      <w:r>
        <w:t xml:space="preserve">Demostrar, con evidencia de tráfico real, por qué Telnet y FTP sin cifrar son un riesgo de seguridad y por qué SSH/SFTP no lo son.</w:t>
      </w:r>
    </w:p>
    <w:p>
      <w:pPr>
        <w:pStyle w:val="ListParagraph"/>
        <w:numPr>
          <w:ilvl w:val="0"/>
          <w:numId w:val="1"/>
        </w:numPr>
        <w:spacing w:after="90"/>
      </w:pPr>
      <w:r>
        <w:t xml:space="preserve">Reconocer el patrón de un escaneo de puertos en una captura, con fines defensivos.</w:t>
      </w:r>
    </w:p>
    <w:p>
      <w:pPr>
        <w:pStyle w:val="ListParagraph"/>
        <w:numPr>
          <w:ilvl w:val="0"/>
          <w:numId w:val="1"/>
        </w:numPr>
        <w:spacing w:after="90"/>
      </w:pPr>
      <w:r>
        <w:t xml:space="preserve">Analizar el riesgo de gestión de la información que introduce un cliente como FileZilla al generar copias locales fuera de control.</w:t>
      </w:r>
    </w:p>
    <w:p>
      <w:pPr>
        <w:pStyle w:val="ListParagraph"/>
        <w:numPr>
          <w:ilvl w:val="0"/>
          <w:numId w:val="1"/>
        </w:numPr>
        <w:spacing w:after="90"/>
      </w:pPr>
      <w:r>
        <w:t xml:space="preserve">Reconstruir, de punta a punta, un incidente simulado: capturarlo, analizarlo, mapearlo a MITRE ATT&amp;CK y redactarlo como informe.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Marco ético y legal</w:t>
            </w:r>
          </w:p>
          <w:p>
            <w:pPr>
              <w:spacing w:after="60"/>
            </w:pPr>
            <w:r>
              <w:t xml:space="preserve">Todo el tráfico que se captura, todos los intentos de conexión Telnet/SSH/FTP y todo el escaneo de puertos de este taller ocurren dentro del laboratorio Docker aislado que acompaña este documento (carpeta lab/ del repositorio), en una red sin salida a Internet.</w:t>
            </w:r>
          </w:p>
          <w:p>
            <w:pPr>
              <w:spacing w:after="60"/>
            </w:pPr>
            <w:r>
              <w:t xml:space="preserve">No se deben repetir estas prácticas contra sistemas de terceros, redes corporativas de producción o redes públicas: el acceso abusivo a sistemas informáticos y la interceptación de datos están tipificados como delito — en Colombia, por la Ley 1273 de 2009 [12]. Verifique el marco equivalente en su jurisdicción si trabaja fuera de este país.</w:t>
            </w:r>
          </w:p>
        </w:tc>
      </w:tr>
    </w:tbl>
    <w:p>
      <w:pPr>
        <w:pStyle w:val="Heading2"/>
        <w:spacing w:after="160" w:before="300"/>
      </w:pPr>
      <w:r>
        <w:t xml:space="preserve">Preparación del laboratorio</w:t>
      </w:r>
    </w:p>
    <w:p>
      <w:pPr>
        <w:spacing w:after="160"/>
        <w:jc w:val="both"/>
      </w:pPr>
      <w:r>
        <w:t xml:space="preserve">Todo el taller se apoya en un laboratorio Docker reproducible: cuatro contenedores (un servidor Telnet, uno FTP, uno SSH y una estación de análisis con Wireshark/tshark, Nmap y clientes Telnet/SSH/FTP) conectados en una red interna sin salida a Internet. No se necesitan máquinas virtuales ni averiguar ninguna dirección IP: dentro del laboratorio, cada equipo se referencia simplemente por su nombre (telnet-server, ftp-server, ssh-server, analyst).</w:t>
      </w:r>
    </w:p>
    <w:p>
      <w:pPr>
        <w:pBdr>
          <w:left w:val="single" w:color="2E5395" w:sz="6"/>
        </w:pBdr>
        <w:shd w:fill="F5F5F5" w:color="auto" w:val="clear"/>
        <w:spacing w:after="0" w:before="80"/>
        <w:ind w:left="200"/>
      </w:pPr>
      <w:r>
        <w:rPr>
          <w:rFonts w:ascii="Consolas" w:cs="Consolas" w:eastAsia="Consolas" w:hAnsi="Consolas"/>
          <w:sz w:val="20"/>
          <w:szCs w:val="20"/>
        </w:rPr>
        <w:t xml:space="preserve">cd lab</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build</w:t>
      </w:r>
    </w:p>
    <w:p>
      <w:pPr>
        <w:pBdr>
          <w:left w:val="single" w:color="2E5395" w:sz="6"/>
        </w:pBdr>
        <w:shd w:fill="F5F5F5" w:color="auto" w:val="clear"/>
        <w:spacing w:after="0" w:before="0"/>
        <w:ind w:left="200"/>
      </w:pPr>
      <w:r>
        <w:rPr>
          <w:rFonts w:ascii="Consolas" w:cs="Consolas" w:eastAsia="Consolas" w:hAnsi="Consolas"/>
          <w:sz w:val="20"/>
          <w:szCs w:val="20"/>
        </w:rPr>
        <w:t xml:space="preserve">docker compose up -d</w:t>
      </w:r>
    </w:p>
    <w:p>
      <w:pPr>
        <w:pBdr>
          <w:left w:val="single" w:color="2E5395" w:sz="6"/>
        </w:pBdr>
        <w:shd w:fill="F5F5F5" w:color="auto" w:val="clear"/>
        <w:spacing w:after="160" w:before="0"/>
        <w:ind w:left="200"/>
      </w:pPr>
      <w:r>
        <w:rPr>
          <w:rFonts w:ascii="Consolas" w:cs="Consolas" w:eastAsia="Consolas" w:hAnsi="Consolas"/>
          <w:sz w:val="20"/>
          <w:szCs w:val="20"/>
        </w:rPr>
        <w:t xml:space="preserve">docker compose exec analyst bash   # aquí se ejecuta todo lo que sigue</w:t>
      </w:r>
    </w:p>
    <w:p>
      <w:pPr>
        <w:spacing w:after="160"/>
        <w:jc w:val="both"/>
      </w:pPr>
      <w:r>
        <w:t xml:space="preserve">Instrucciones completas, credenciales de cada servicio y la opción de usar clientes gráficos reales (FileZilla, PuTTY) contra localhost están en el archivo lab/README.md del repositorio.</w:t>
      </w:r>
    </w:p>
    <w:p>
      <w:r>
        <w:br w:type="page"/>
      </w:r>
    </w:p>
    <w:p>
      <w:pPr>
        <w:pStyle w:val="Heading1"/>
        <w:spacing w:after="200" w:before="400"/>
      </w:pPr>
      <w:r>
        <w:t xml:space="preserve">1. Puertos y servicios: el mapa de la superficie de ataque</w:t>
      </w:r>
    </w:p>
    <w:p>
      <w:pPr>
        <w:spacing w:after="160"/>
        <w:jc w:val="both"/>
      </w:pPr>
      <w:r>
        <w:t xml:space="preserve">Una dirección IP identifica un equipo, pero un mismo equipo ejecuta simultáneamente muchos servicios (web, correo, SSH…). El puerto —un número de 16 bits, 0-65535— es lo que permite entregar el tráfico entrante al proceso correcto. La combinación IP + protocolo de transporte + puerto se llama socket [2][3]. Estos conceptos corren sobre las capas de enlace definidas por los estándares IEEE 802 (802.3 Ethernet, 802.11 Wi-Fi), que Wireshark decodifica antes de mostrar los encabezados IP/transporte donde viven los puertos [11].</w:t>
      </w:r>
    </w:p>
    <w:p>
      <w:pPr>
        <w:pStyle w:val="Heading3"/>
        <w:spacing w:after="120" w:before="200"/>
      </w:pPr>
      <w:r>
        <w:t xml:space="preserve">Clasificación de puertos según IANA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4923"/>
      </w:tblGrid>
      <w:tr>
        <w:trPr>
          <w:cantSplit/>
          <w:tblHeader/>
        </w:trPr>
        <w:tc>
          <w:tcPr>
            <w:tcW w:type="dxa" w:w="1641"/>
            <w:shd w:fill="2E5395" w:color="auto" w:val="clear"/>
            <w:tcMar>
              <w:top w:type="dxa" w:w="80"/>
              <w:left w:type="dxa" w:w="100"/>
              <w:bottom w:type="dxa" w:w="80"/>
              <w:right w:type="dxa" w:w="100"/>
            </w:tcMar>
            <w:vAlign w:val="center"/>
          </w:tcPr>
          <w:p>
            <w:r>
              <w:rPr>
                <w:b/>
                <w:bCs/>
                <w:color w:val="FFFFFF"/>
                <w:sz w:val="20"/>
                <w:szCs w:val="20"/>
              </w:rPr>
              <w:t xml:space="preserve">Rango</w:t>
            </w:r>
          </w:p>
        </w:tc>
        <w:tc>
          <w:tcPr>
            <w:tcW w:type="dxa" w:w="2462"/>
            <w:shd w:fill="2E5395" w:color="auto" w:val="clear"/>
            <w:tcMar>
              <w:top w:type="dxa" w:w="80"/>
              <w:left w:type="dxa" w:w="100"/>
              <w:bottom w:type="dxa" w:w="80"/>
              <w:right w:type="dxa" w:w="100"/>
            </w:tcMar>
            <w:vAlign w:val="center"/>
          </w:tcPr>
          <w:p>
            <w:r>
              <w:rPr>
                <w:b/>
                <w:bCs/>
                <w:color w:val="FFFFFF"/>
                <w:sz w:val="20"/>
                <w:szCs w:val="20"/>
              </w:rPr>
              <w:t xml:space="preserve">Nombre</w:t>
            </w:r>
          </w:p>
        </w:tc>
        <w:tc>
          <w:tcPr>
            <w:tcW w:type="dxa" w:w="4923"/>
            <w:shd w:fill="2E5395" w:color="auto" w:val="clear"/>
            <w:tcMar>
              <w:top w:type="dxa" w:w="80"/>
              <w:left w:type="dxa" w:w="100"/>
              <w:bottom w:type="dxa" w:w="80"/>
              <w:right w:type="dxa" w:w="100"/>
            </w:tcMar>
            <w:vAlign w:val="center"/>
          </w:tcPr>
          <w:p>
            <w:r>
              <w:rPr>
                <w:b/>
                <w:bCs/>
                <w:color w:val="FFFFFF"/>
                <w:sz w:val="20"/>
                <w:szCs w:val="20"/>
              </w:rPr>
              <w:t xml:space="preserve">Implicación de seguridad</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0 – 1023</w:t>
            </w:r>
          </w:p>
        </w:tc>
        <w:tc>
          <w:tcPr>
            <w:tcW w:type="dxa" w:w="2462"/>
            <w:tcMar>
              <w:top w:type="dxa" w:w="80"/>
              <w:left w:type="dxa" w:w="100"/>
              <w:bottom w:type="dxa" w:w="80"/>
              <w:right w:type="dxa" w:w="100"/>
            </w:tcMar>
            <w:vAlign w:val="center"/>
          </w:tcPr>
          <w:p>
            <w:r>
              <w:rPr>
                <w:b w:val="false"/>
                <w:bCs w:val="false"/>
                <w:sz w:val="20"/>
                <w:szCs w:val="20"/>
              </w:rPr>
              <w:t xml:space="preserve">Bien conocidos (well-known)</w:t>
            </w:r>
          </w:p>
        </w:tc>
        <w:tc>
          <w:tcPr>
            <w:tcW w:type="dxa" w:w="4923"/>
            <w:tcMar>
              <w:top w:type="dxa" w:w="80"/>
              <w:left w:type="dxa" w:w="100"/>
              <w:bottom w:type="dxa" w:w="80"/>
              <w:right w:type="dxa" w:w="100"/>
            </w:tcMar>
            <w:vAlign w:val="center"/>
          </w:tcPr>
          <w:p>
            <w:r>
              <w:rPr>
                <w:b w:val="false"/>
                <w:bCs w:val="false"/>
                <w:sz w:val="20"/>
                <w:szCs w:val="20"/>
              </w:rPr>
              <w:t xml:space="preserve">Requieren privilegios de administrador en Unix; suelen ser el primer objetivo de un escaneo.</w:t>
            </w:r>
          </w:p>
        </w:tc>
      </w:tr>
      <w:tr>
        <w:trPr>
          <w:cantSplit/>
        </w:trPr>
        <w:tc>
          <w:tcPr>
            <w:tcW w:type="dxa" w:w="1641"/>
            <w:shd w:fill="EDEDED" w:color="auto" w:val="clear"/>
            <w:tcMar>
              <w:top w:type="dxa" w:w="80"/>
              <w:left w:type="dxa" w:w="100"/>
              <w:bottom w:type="dxa" w:w="80"/>
              <w:right w:type="dxa" w:w="100"/>
            </w:tcMar>
            <w:vAlign w:val="center"/>
          </w:tcPr>
          <w:p>
            <w:r>
              <w:rPr>
                <w:b w:val="false"/>
                <w:bCs w:val="false"/>
                <w:sz w:val="20"/>
                <w:szCs w:val="20"/>
              </w:rPr>
              <w:t xml:space="preserve">1024 – 49151</w:t>
            </w:r>
          </w:p>
        </w:tc>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Registrados</w:t>
            </w:r>
          </w:p>
        </w:tc>
        <w:tc>
          <w:tcPr>
            <w:tcW w:type="dxa" w:w="4923"/>
            <w:shd w:fill="EDEDED" w:color="auto" w:val="clear"/>
            <w:tcMar>
              <w:top w:type="dxa" w:w="80"/>
              <w:left w:type="dxa" w:w="100"/>
              <w:bottom w:type="dxa" w:w="80"/>
              <w:right w:type="dxa" w:w="100"/>
            </w:tcMar>
            <w:vAlign w:val="center"/>
          </w:tcPr>
          <w:p>
            <w:r>
              <w:rPr>
                <w:b w:val="false"/>
                <w:bCs w:val="false"/>
                <w:sz w:val="20"/>
                <w:szCs w:val="20"/>
              </w:rPr>
              <w:t xml:space="preserve">Servicios de aplicaciones específicas; su presencia inesperada suele delatar software no autorizado.</w:t>
            </w:r>
          </w:p>
        </w:tc>
      </w:tr>
      <w:tr>
        <w:trPr>
          <w:cantSplit/>
        </w:trPr>
        <w:tc>
          <w:tcPr>
            <w:tcW w:type="dxa" w:w="1641"/>
            <w:tcMar>
              <w:top w:type="dxa" w:w="80"/>
              <w:left w:type="dxa" w:w="100"/>
              <w:bottom w:type="dxa" w:w="80"/>
              <w:right w:type="dxa" w:w="100"/>
            </w:tcMar>
            <w:vAlign w:val="center"/>
          </w:tcPr>
          <w:p>
            <w:r>
              <w:rPr>
                <w:b w:val="false"/>
                <w:bCs w:val="false"/>
                <w:sz w:val="20"/>
                <w:szCs w:val="20"/>
              </w:rPr>
              <w:t xml:space="preserve">49152 – 65535</w:t>
            </w:r>
          </w:p>
        </w:tc>
        <w:tc>
          <w:tcPr>
            <w:tcW w:type="dxa" w:w="2462"/>
            <w:tcMar>
              <w:top w:type="dxa" w:w="80"/>
              <w:left w:type="dxa" w:w="100"/>
              <w:bottom w:type="dxa" w:w="80"/>
              <w:right w:type="dxa" w:w="100"/>
            </w:tcMar>
            <w:vAlign w:val="center"/>
          </w:tcPr>
          <w:p>
            <w:r>
              <w:rPr>
                <w:b w:val="false"/>
                <w:bCs w:val="false"/>
                <w:sz w:val="20"/>
                <w:szCs w:val="20"/>
              </w:rPr>
              <w:t xml:space="preserve">Dinámicos/efímeros</w:t>
            </w:r>
          </w:p>
        </w:tc>
        <w:tc>
          <w:tcPr>
            <w:tcW w:type="dxa" w:w="4923"/>
            <w:tcMar>
              <w:top w:type="dxa" w:w="80"/>
              <w:left w:type="dxa" w:w="100"/>
              <w:bottom w:type="dxa" w:w="80"/>
              <w:right w:type="dxa" w:w="100"/>
            </w:tcMar>
            <w:vAlign w:val="center"/>
          </w:tcPr>
          <w:p>
            <w:r>
              <w:rPr>
                <w:b w:val="false"/>
                <w:bCs w:val="false"/>
                <w:sz w:val="20"/>
                <w:szCs w:val="20"/>
              </w:rPr>
              <w:t xml:space="preserve">Puertos de origen del cliente; en el destino no deberían aparecer como puertos "en escucha".</w:t>
            </w:r>
          </w:p>
        </w:tc>
      </w:tr>
    </w:tbl>
    <w:p>
      <w:pPr>
        <w:spacing w:after="160"/>
        <w:jc w:val="both"/>
      </w:pPr>
      <w:r>
        <w:t xml:space="preserve">El registro oficial de asignaciones de puertos es mantenido por IANA [1].</w:t>
      </w:r>
    </w:p>
    <w:p>
      <w:pPr>
        <w:pStyle w:val="Heading3"/>
        <w:spacing w:after="120" w:before="200"/>
      </w:pPr>
      <w:r>
        <w:t xml:space="preserve">TCP vs UDP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5"/>
      </w:tblGrid>
      <w:tr>
        <w:trPr>
          <w:cantSplit/>
          <w:tblHeader/>
        </w:trPr>
        <w:tc>
          <w:tcPr>
            <w:tcW w:type="dxa" w:w="2257"/>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TCP</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UDP</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Conexión</w:t>
            </w:r>
          </w:p>
        </w:tc>
        <w:tc>
          <w:tcPr>
            <w:tcW w:type="dxa" w:w="3385"/>
            <w:tcMar>
              <w:top w:type="dxa" w:w="80"/>
              <w:left w:type="dxa" w:w="100"/>
              <w:bottom w:type="dxa" w:w="80"/>
              <w:right w:type="dxa" w:w="100"/>
            </w:tcMar>
            <w:vAlign w:val="center"/>
          </w:tcPr>
          <w:p>
            <w:r>
              <w:rPr>
                <w:b w:val="false"/>
                <w:bCs w:val="false"/>
                <w:sz w:val="20"/>
                <w:szCs w:val="20"/>
              </w:rPr>
              <w:t xml:space="preserve">Three-way handshake (SYN, SYN-ACK, ACK)</w:t>
            </w:r>
          </w:p>
        </w:tc>
        <w:tc>
          <w:tcPr>
            <w:tcW w:type="dxa" w:w="3385"/>
            <w:tcMar>
              <w:top w:type="dxa" w:w="80"/>
              <w:left w:type="dxa" w:w="100"/>
              <w:bottom w:type="dxa" w:w="80"/>
              <w:right w:type="dxa" w:w="100"/>
            </w:tcMar>
            <w:vAlign w:val="center"/>
          </w:tcPr>
          <w:p>
            <w:r>
              <w:rPr>
                <w:b w:val="false"/>
                <w:bCs w:val="false"/>
                <w:sz w:val="20"/>
                <w:szCs w:val="20"/>
              </w:rPr>
              <w:t xml:space="preserve">Sin conexión</w:t>
            </w:r>
          </w:p>
        </w:tc>
      </w:tr>
      <w:tr>
        <w:trPr>
          <w:cantSplit/>
        </w:trP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Confiabilidad</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Garantiza entrega y orden</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No garantiza nada</w:t>
            </w:r>
          </w:p>
        </w:tc>
      </w:tr>
      <w:tr>
        <w:trPr>
          <w:cantSplit/>
        </w:trPr>
        <w:tc>
          <w:tcPr>
            <w:tcW w:type="dxa" w:w="2257"/>
            <w:tcMar>
              <w:top w:type="dxa" w:w="80"/>
              <w:left w:type="dxa" w:w="100"/>
              <w:bottom w:type="dxa" w:w="80"/>
              <w:right w:type="dxa" w:w="100"/>
            </w:tcMar>
            <w:vAlign w:val="center"/>
          </w:tcPr>
          <w:p>
            <w:r>
              <w:rPr>
                <w:b w:val="false"/>
                <w:bCs w:val="false"/>
                <w:sz w:val="20"/>
                <w:szCs w:val="20"/>
              </w:rPr>
              <w:t xml:space="preserve">Casos de uso</w:t>
            </w:r>
          </w:p>
        </w:tc>
        <w:tc>
          <w:tcPr>
            <w:tcW w:type="dxa" w:w="3385"/>
            <w:tcMar>
              <w:top w:type="dxa" w:w="80"/>
              <w:left w:type="dxa" w:w="100"/>
              <w:bottom w:type="dxa" w:w="80"/>
              <w:right w:type="dxa" w:w="100"/>
            </w:tcMar>
            <w:vAlign w:val="center"/>
          </w:tcPr>
          <w:p>
            <w:r>
              <w:rPr>
                <w:b w:val="false"/>
                <w:bCs w:val="false"/>
                <w:sz w:val="20"/>
                <w:szCs w:val="20"/>
              </w:rPr>
              <w:t xml:space="preserve">HTTP/HTTPS, SSH, FTP, SMTP, RDP</w:t>
            </w:r>
          </w:p>
        </w:tc>
        <w:tc>
          <w:tcPr>
            <w:tcW w:type="dxa" w:w="3385"/>
            <w:tcMar>
              <w:top w:type="dxa" w:w="80"/>
              <w:left w:type="dxa" w:w="100"/>
              <w:bottom w:type="dxa" w:w="80"/>
              <w:right w:type="dxa" w:w="100"/>
            </w:tcMar>
            <w:vAlign w:val="center"/>
          </w:tcPr>
          <w:p>
            <w:r>
              <w:rPr>
                <w:b w:val="false"/>
                <w:bCs w:val="false"/>
                <w:sz w:val="20"/>
                <w:szCs w:val="20"/>
              </w:rPr>
              <w:t xml:space="preserve">DNS, DHCP, SNMP, VoIP, streaming</w:t>
            </w:r>
          </w:p>
        </w:tc>
      </w:tr>
    </w:tbl>
    <w:p>
      <w:pPr>
        <w:pStyle w:val="Heading3"/>
        <w:spacing w:after="120" w:before="200"/>
      </w:pPr>
      <w:r>
        <w:t xml:space="preserve">Servicios y puertos que todo analista debe reconocer de memoria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8"/>
        <w:gridCol w:w="4513"/>
      </w:tblGrid>
      <w:tr>
        <w:trPr>
          <w:cantSplit/>
          <w:tblHeader/>
        </w:trPr>
        <w:tc>
          <w:tcPr>
            <w:tcW w:type="dxa" w:w="1805"/>
            <w:shd w:fill="2E5395" w:color="auto" w:val="clear"/>
            <w:tcMar>
              <w:top w:type="dxa" w:w="80"/>
              <w:left w:type="dxa" w:w="100"/>
              <w:bottom w:type="dxa" w:w="80"/>
              <w:right w:type="dxa" w:w="100"/>
            </w:tcMar>
            <w:vAlign w:val="center"/>
          </w:tcPr>
          <w:p>
            <w:r>
              <w:rPr>
                <w:b/>
                <w:bCs/>
                <w:color w:val="FFFFFF"/>
                <w:sz w:val="20"/>
                <w:szCs w:val="20"/>
              </w:rPr>
              <w:t xml:space="preserve">Puerto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Servicio</w:t>
            </w:r>
          </w:p>
        </w:tc>
        <w:tc>
          <w:tcPr>
            <w:tcW w:type="dxa" w:w="4513"/>
            <w:shd w:fill="2E5395" w:color="auto" w:val="clear"/>
            <w:tcMar>
              <w:top w:type="dxa" w:w="80"/>
              <w:left w:type="dxa" w:w="100"/>
              <w:bottom w:type="dxa" w:w="80"/>
              <w:right w:type="dxa" w:w="100"/>
            </w:tcMar>
            <w:vAlign w:val="center"/>
          </w:tcPr>
          <w:p>
            <w:r>
              <w:rPr>
                <w:b/>
                <w:bCs/>
                <w:color w:val="FFFFFF"/>
                <w:sz w:val="20"/>
                <w:szCs w:val="20"/>
              </w:rPr>
              <w:t xml:space="preserve">Riesgo si está expuesto sin control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21 / 20</w:t>
            </w:r>
          </w:p>
        </w:tc>
        <w:tc>
          <w:tcPr>
            <w:tcW w:type="dxa" w:w="2708"/>
            <w:tcMar>
              <w:top w:type="dxa" w:w="80"/>
              <w:left w:type="dxa" w:w="100"/>
              <w:bottom w:type="dxa" w:w="80"/>
              <w:right w:type="dxa" w:w="100"/>
            </w:tcMar>
            <w:vAlign w:val="center"/>
          </w:tcPr>
          <w:p>
            <w:r>
              <w:rPr>
                <w:b w:val="false"/>
                <w:bCs w:val="false"/>
                <w:sz w:val="20"/>
                <w:szCs w:val="20"/>
              </w:rPr>
              <w:t xml:space="preserve">FTP</w:t>
            </w:r>
          </w:p>
        </w:tc>
        <w:tc>
          <w:tcPr>
            <w:tcW w:type="dxa" w:w="4513"/>
            <w:tcMar>
              <w:top w:type="dxa" w:w="80"/>
              <w:left w:type="dxa" w:w="100"/>
              <w:bottom w:type="dxa" w:w="80"/>
              <w:right w:type="dxa" w:w="100"/>
            </w:tcMar>
            <w:vAlign w:val="center"/>
          </w:tcPr>
          <w:p>
            <w:r>
              <w:rPr>
                <w:b w:val="false"/>
                <w:bCs w:val="false"/>
                <w:sz w:val="20"/>
                <w:szCs w:val="20"/>
              </w:rPr>
              <w:t xml:space="preserve">Credenciales y datos en texto claro</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22</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SSH / SFTP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si la autenticación es débil</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23</w:t>
            </w:r>
          </w:p>
        </w:tc>
        <w:tc>
          <w:tcPr>
            <w:tcW w:type="dxa" w:w="2708"/>
            <w:tcMar>
              <w:top w:type="dxa" w:w="80"/>
              <w:left w:type="dxa" w:w="100"/>
              <w:bottom w:type="dxa" w:w="80"/>
              <w:right w:type="dxa" w:w="100"/>
            </w:tcMar>
            <w:vAlign w:val="center"/>
          </w:tcPr>
          <w:p>
            <w:r>
              <w:rPr>
                <w:b w:val="false"/>
                <w:bCs w:val="false"/>
                <w:sz w:val="20"/>
                <w:szCs w:val="20"/>
              </w:rPr>
              <w:t xml:space="preserve">Telnet</w:t>
            </w:r>
          </w:p>
        </w:tc>
        <w:tc>
          <w:tcPr>
            <w:tcW w:type="dxa" w:w="4513"/>
            <w:tcMar>
              <w:top w:type="dxa" w:w="80"/>
              <w:left w:type="dxa" w:w="100"/>
              <w:bottom w:type="dxa" w:w="80"/>
              <w:right w:type="dxa" w:w="100"/>
            </w:tcMar>
            <w:vAlign w:val="center"/>
          </w:tcPr>
          <w:p>
            <w:r>
              <w:rPr>
                <w:b w:val="false"/>
                <w:bCs w:val="false"/>
                <w:sz w:val="20"/>
                <w:szCs w:val="20"/>
              </w:rPr>
              <w:t xml:space="preserve">Texto claro; debería estar deshabilitado en cualquier auditoría</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25 / 587</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SMTP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Relay abierto, suplantación de remitente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53</w:t>
            </w:r>
          </w:p>
        </w:tc>
        <w:tc>
          <w:tcPr>
            <w:tcW w:type="dxa" w:w="2708"/>
            <w:tcMar>
              <w:top w:type="dxa" w:w="80"/>
              <w:left w:type="dxa" w:w="100"/>
              <w:bottom w:type="dxa" w:w="80"/>
              <w:right w:type="dxa" w:w="100"/>
            </w:tcMar>
            <w:vAlign w:val="center"/>
          </w:tcPr>
          <w:p>
            <w:r>
              <w:rPr>
                <w:b w:val="false"/>
                <w:bCs w:val="false"/>
                <w:sz w:val="20"/>
                <w:szCs w:val="20"/>
              </w:rPr>
              <w:t xml:space="preserve">DNS</w:t>
            </w:r>
          </w:p>
        </w:tc>
        <w:tc>
          <w:tcPr>
            <w:tcW w:type="dxa" w:w="4513"/>
            <w:tcMar>
              <w:top w:type="dxa" w:w="80"/>
              <w:left w:type="dxa" w:w="100"/>
              <w:bottom w:type="dxa" w:w="80"/>
              <w:right w:type="dxa" w:w="100"/>
            </w:tcMar>
            <w:vAlign w:val="center"/>
          </w:tcPr>
          <w:p>
            <w:r>
              <w:rPr>
                <w:b w:val="false"/>
                <w:bCs w:val="false"/>
                <w:sz w:val="20"/>
                <w:szCs w:val="20"/>
              </w:rPr>
              <w:t xml:space="preserve">Túneles DNS, exfiltración, envenenamiento de caché</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80 / 443</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HTTP / HTTPS</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Superficie de ataque de aplicaciones web</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445</w:t>
            </w:r>
          </w:p>
        </w:tc>
        <w:tc>
          <w:tcPr>
            <w:tcW w:type="dxa" w:w="2708"/>
            <w:tcMar>
              <w:top w:type="dxa" w:w="80"/>
              <w:left w:type="dxa" w:w="100"/>
              <w:bottom w:type="dxa" w:w="80"/>
              <w:right w:type="dxa" w:w="100"/>
            </w:tcMar>
            <w:vAlign w:val="center"/>
          </w:tcPr>
          <w:p>
            <w:r>
              <w:rPr>
                <w:b w:val="false"/>
                <w:bCs w:val="false"/>
                <w:sz w:val="20"/>
                <w:szCs w:val="20"/>
              </w:rPr>
              <w:t xml:space="preserve">SMB</w:t>
            </w:r>
          </w:p>
        </w:tc>
        <w:tc>
          <w:tcPr>
            <w:tcW w:type="dxa" w:w="4513"/>
            <w:tcMar>
              <w:top w:type="dxa" w:w="80"/>
              <w:left w:type="dxa" w:w="100"/>
              <w:bottom w:type="dxa" w:w="80"/>
              <w:right w:type="dxa" w:w="100"/>
            </w:tcMar>
            <w:vAlign w:val="center"/>
          </w:tcPr>
          <w:p>
            <w:r>
              <w:rPr>
                <w:b w:val="false"/>
                <w:bCs w:val="false"/>
                <w:sz w:val="20"/>
                <w:szCs w:val="20"/>
              </w:rPr>
              <w:t xml:space="preserve">Vector clásico de ransomware y movimiento lateral</w:t>
            </w:r>
          </w:p>
        </w:tc>
      </w:tr>
      <w:tr>
        <w:trPr>
          <w:cantSplit/>
        </w:trPr>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3389</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RDP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Objetivo habitual de fuerza bruta y ransomware</w:t>
            </w:r>
          </w:p>
        </w:tc>
      </w:tr>
      <w:tr>
        <w:trPr>
          <w:cantSplit/>
        </w:trPr>
        <w:tc>
          <w:tcPr>
            <w:tcW w:type="dxa" w:w="1805"/>
            <w:tcMar>
              <w:top w:type="dxa" w:w="80"/>
              <w:left w:type="dxa" w:w="100"/>
              <w:bottom w:type="dxa" w:w="80"/>
              <w:right w:type="dxa" w:w="100"/>
            </w:tcMar>
            <w:vAlign w:val="center"/>
          </w:tcPr>
          <w:p>
            <w:r>
              <w:rPr>
                <w:b w:val="false"/>
                <w:bCs w:val="false"/>
                <w:sz w:val="20"/>
                <w:szCs w:val="20"/>
              </w:rPr>
              <w:t xml:space="preserve">3306 / 5432</w:t>
            </w:r>
          </w:p>
        </w:tc>
        <w:tc>
          <w:tcPr>
            <w:tcW w:type="dxa" w:w="2708"/>
            <w:tcMar>
              <w:top w:type="dxa" w:w="80"/>
              <w:left w:type="dxa" w:w="100"/>
              <w:bottom w:type="dxa" w:w="80"/>
              <w:right w:type="dxa" w:w="100"/>
            </w:tcMar>
            <w:vAlign w:val="center"/>
          </w:tcPr>
          <w:p>
            <w:r>
              <w:rPr>
                <w:b w:val="false"/>
                <w:bCs w:val="false"/>
                <w:sz w:val="20"/>
                <w:szCs w:val="20"/>
              </w:rPr>
              <w:t xml:space="preserve">MySQL / PostgreSQL</w:t>
            </w:r>
          </w:p>
        </w:tc>
        <w:tc>
          <w:tcPr>
            <w:tcW w:type="dxa" w:w="4513"/>
            <w:tcMar>
              <w:top w:type="dxa" w:w="80"/>
              <w:left w:type="dxa" w:w="100"/>
              <w:bottom w:type="dxa" w:w="80"/>
              <w:right w:type="dxa" w:w="100"/>
            </w:tcMar>
            <w:vAlign w:val="center"/>
          </w:tcPr>
          <w:p>
            <w:r>
              <w:rPr>
                <w:b w:val="false"/>
                <w:bCs w:val="false"/>
                <w:sz w:val="20"/>
                <w:szCs w:val="20"/>
              </w:rPr>
              <w:t xml:space="preserve">Nunca deberían estar expuestos fuera de la red interna</w:t>
            </w:r>
          </w:p>
        </w:tc>
      </w:tr>
    </w:tbl>
    <w:p>
      <w:pPr>
        <w:pStyle w:val="Heading3"/>
        <w:spacing w:after="120" w:before="200"/>
      </w:pPr>
      <w:r>
        <w:t xml:space="preserve">Práctica — Auditar tu propia superficie de exposición</w:t>
      </w:r>
    </w:p>
    <w:p>
      <w:pPr>
        <w:spacing w:after="160"/>
        <w:jc w:val="both"/>
      </w:pPr>
      <w:r>
        <w:t xml:space="preserve">Antes de tocar Wireshark, se audita qué está realmente escuchando en un sistema — el mismo primer paso que ejecuta un analista en una revisión de hardening.</w:t>
      </w:r>
    </w:p>
    <w:p>
      <w:pPr>
        <w:pBdr>
          <w:left w:val="single" w:color="2E5395" w:sz="6"/>
        </w:pBdr>
        <w:shd w:fill="F5F5F5" w:color="auto" w:val="clear"/>
        <w:spacing w:after="0" w:before="80"/>
        <w:ind w:left="200"/>
      </w:pPr>
      <w:r>
        <w:rPr>
          <w:rFonts w:ascii="Consolas" w:cs="Consolas" w:eastAsia="Consolas" w:hAnsi="Consolas"/>
          <w:sz w:val="20"/>
          <w:szCs w:val="20"/>
        </w:rPr>
        <w:t xml:space="preserve"># Linux / dentro del contenedor analyst (para practicar con el propio equipo anfitrión)</w:t>
      </w:r>
    </w:p>
    <w:p>
      <w:pPr>
        <w:pBdr>
          <w:left w:val="single" w:color="2E5395" w:sz="6"/>
        </w:pBdr>
        <w:shd w:fill="F5F5F5" w:color="auto" w:val="clear"/>
        <w:spacing w:after="0" w:before="0"/>
        <w:ind w:left="200"/>
      </w:pPr>
      <w:r>
        <w:rPr>
          <w:rFonts w:ascii="Consolas" w:cs="Consolas" w:eastAsia="Consolas" w:hAnsi="Consolas"/>
          <w:sz w:val="20"/>
          <w:szCs w:val="20"/>
        </w:rPr>
        <w:t xml:space="preserve">sudo ss -tulnp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Windows</w:t>
      </w:r>
    </w:p>
    <w:p>
      <w:pPr>
        <w:pBdr>
          <w:left w:val="single" w:color="2E5395" w:sz="6"/>
        </w:pBdr>
        <w:shd w:fill="F5F5F5" w:color="auto" w:val="clear"/>
        <w:spacing w:after="160" w:before="0"/>
        <w:ind w:left="200"/>
      </w:pPr>
      <w:r>
        <w:rPr>
          <w:rFonts w:ascii="Consolas" w:cs="Consolas" w:eastAsia="Consolas" w:hAnsi="Consolas"/>
          <w:sz w:val="20"/>
          <w:szCs w:val="20"/>
        </w:rPr>
        <w:t xml:space="preserve">netstat -ano</w:t>
      </w:r>
    </w:p>
    <w:p>
      <w:pPr>
        <w:spacing w:after="160"/>
        <w:jc w:val="both"/>
      </w:pPr>
      <w:r>
        <w:t xml:space="preserve">Por cada puerto en estado LISTEN/LISTENING, se identifica el proceso y se compara contra la tabla anterior. Cualquier puerto no reconocido es candidato a investigación — así es como se detecta software no autorizado o backdoors en una auditoría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dejar un servicio escuchando en un puerto que nadie usa cuenta como aumento de superficie de ataque, incluso si el servicio "no tiene vulnerabilidades conocidas"?</w:t>
            </w:r>
          </w:p>
        </w:tc>
      </w:tr>
    </w:tbl>
    <w:p>
      <w:r>
        <w:br w:type="page"/>
      </w:r>
    </w:p>
    <w:p>
      <w:pPr>
        <w:pStyle w:val="Heading1"/>
        <w:spacing w:after="200" w:before="400"/>
      </w:pPr>
      <w:r>
        <w:t xml:space="preserve">2. Wireshark: instalación y manejo esencial</w:t>
      </w:r>
    </w:p>
    <w:p>
      <w:pPr>
        <w:spacing w:after="160"/>
        <w:jc w:val="both"/>
      </w:pPr>
      <w:r>
        <w:t xml:space="preserve">Wireshark captura tráfico usando Npcap (Windows) o libpcap (Linux/macOS) y lo decodifica capa por capa hasta el protocolo de aplicación [7]. Es la herramienta estándar de análisis forense, respuesta a incidentes y auditoría de tráfico.</w:t>
      </w:r>
    </w:p>
    <w:p>
      <w:pPr>
        <w:pStyle w:val="Heading3"/>
        <w:spacing w:after="120" w:before="200"/>
      </w:pPr>
      <w:r>
        <w:t xml:space="preserve">Instalación — Windows</w:t>
      </w:r>
    </w:p>
    <w:p>
      <w:pPr>
        <w:spacing w:after="160"/>
        <w:jc w:val="both"/>
      </w:pPr>
      <w:r>
        <w:t xml:space="preserve">Descargar el instalador desde wireshark.org, aceptar instalar Npcap cuando se solicite, y reiniciar si lo pide el instalador.</w:t>
      </w:r>
    </w:p>
    <w:p>
      <w:pPr>
        <w:pStyle w:val="Heading3"/>
        <w:spacing w:after="120" w:before="200"/>
      </w:pPr>
      <w:r>
        <w:t xml:space="preserve">Instalación — Linux (Debian/Ubuntu)</w:t>
      </w:r>
    </w:p>
    <w:p>
      <w:pPr>
        <w:pBdr>
          <w:left w:val="single" w:color="2E5395" w:sz="6"/>
        </w:pBdr>
        <w:shd w:fill="F5F5F5" w:color="auto" w:val="clear"/>
        <w:spacing w:after="0" w:before="80"/>
        <w:ind w:left="200"/>
      </w:pPr>
      <w:r>
        <w:rPr>
          <w:rFonts w:ascii="Consolas" w:cs="Consolas" w:eastAsia="Consolas" w:hAnsi="Consolas"/>
          <w:sz w:val="20"/>
          <w:szCs w:val="20"/>
        </w:rPr>
        <w:t xml:space="preserve">sudo apt update &amp;&amp; sudo apt install wireshark</w:t>
      </w:r>
    </w:p>
    <w:p>
      <w:pPr>
        <w:pBdr>
          <w:left w:val="single" w:color="2E5395" w:sz="6"/>
        </w:pBdr>
        <w:shd w:fill="F5F5F5" w:color="auto" w:val="clear"/>
        <w:spacing w:after="0" w:before="0"/>
        <w:ind w:left="200"/>
      </w:pPr>
      <w:r>
        <w:rPr>
          <w:rFonts w:ascii="Consolas" w:cs="Consolas" w:eastAsia="Consolas" w:hAnsi="Consolas"/>
          <w:sz w:val="20"/>
          <w:szCs w:val="20"/>
        </w:rPr>
        <w:t xml:space="preserve">sudo usermod -aG wireshark $USER   # permite capturar sin sudo</w:t>
      </w:r>
    </w:p>
    <w:p>
      <w:pPr>
        <w:pBdr>
          <w:left w:val="single" w:color="2E5395" w:sz="6"/>
        </w:pBdr>
        <w:shd w:fill="F5F5F5" w:color="auto" w:val="clear"/>
        <w:spacing w:after="160" w:before="0"/>
        <w:ind w:left="200"/>
      </w:pPr>
      <w:r>
        <w:rPr>
          <w:rFonts w:ascii="Consolas" w:cs="Consolas" w:eastAsia="Consolas" w:hAnsi="Consolas"/>
          <w:sz w:val="20"/>
          <w:szCs w:val="20"/>
        </w:rPr>
        <w:t xml:space="preserve"># cerrar sesión y volver a entrar para que el cambio de grupo tome efecto</w:t>
      </w:r>
    </w:p>
    <w:p>
      <w:pPr>
        <w:spacing w:after="160"/>
        <w:jc w:val="both"/>
      </w:pPr>
      <w:r>
        <w:t xml:space="preserve">Los cinco elementos que se usan durante todo el taller: lista de interfaces, barra de filtro de visualización, lista de paquetes, panel de detalles (por capas: Frame, Ethernet, IP, TCP/UDP, aplicación) y panel de bytes hexadecimales.</w:t>
      </w:r>
    </w:p>
    <w:p>
      <w:pPr>
        <w:pStyle w:val="Heading3"/>
        <w:spacing w:after="120" w:before="200"/>
      </w:pPr>
      <w:r>
        <w:t xml:space="preserve">No confundir los dos tipos de filtro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9"/>
        <w:gridCol w:w="3438"/>
        <w:gridCol w:w="3438"/>
      </w:tblGrid>
      <w:tr>
        <w:trPr>
          <w:cantSplit/>
          <w:tblHeader/>
        </w:trPr>
        <w:tc>
          <w:tcPr>
            <w:tcW w:type="dxa" w:w="2149"/>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captura</w:t>
            </w:r>
          </w:p>
        </w:tc>
        <w:tc>
          <w:tcPr>
            <w:tcW w:type="dxa" w:w="3438"/>
            <w:shd w:fill="2E5395" w:color="auto" w:val="clear"/>
            <w:tcMar>
              <w:top w:type="dxa" w:w="80"/>
              <w:left w:type="dxa" w:w="100"/>
              <w:bottom w:type="dxa" w:w="80"/>
              <w:right w:type="dxa" w:w="100"/>
            </w:tcMar>
            <w:vAlign w:val="center"/>
          </w:tcPr>
          <w:p>
            <w:r>
              <w:rPr>
                <w:b/>
                <w:bCs/>
                <w:color w:val="FFFFFF"/>
                <w:sz w:val="20"/>
                <w:szCs w:val="20"/>
              </w:rPr>
              <w:t xml:space="preserve">Filtro de visualización</w:t>
            </w:r>
          </w:p>
        </w:tc>
      </w:tr>
      <w:tr>
        <w:trPr>
          <w:cantSplit/>
        </w:trPr>
        <w:tc>
          <w:tcPr>
            <w:tcW w:type="dxa" w:w="2149"/>
            <w:tcMar>
              <w:top w:type="dxa" w:w="80"/>
              <w:left w:type="dxa" w:w="100"/>
              <w:bottom w:type="dxa" w:w="80"/>
              <w:right w:type="dxa" w:w="100"/>
            </w:tcMar>
            <w:vAlign w:val="center"/>
          </w:tcPr>
          <w:p>
            <w:r>
              <w:rPr>
                <w:b w:val="false"/>
                <w:bCs w:val="false"/>
                <w:sz w:val="20"/>
                <w:szCs w:val="20"/>
              </w:rPr>
              <w:t xml:space="preserve">Cuándo se aplica</w:t>
            </w:r>
          </w:p>
        </w:tc>
        <w:tc>
          <w:tcPr>
            <w:tcW w:type="dxa" w:w="3438"/>
            <w:tcMar>
              <w:top w:type="dxa" w:w="80"/>
              <w:left w:type="dxa" w:w="100"/>
              <w:bottom w:type="dxa" w:w="80"/>
              <w:right w:type="dxa" w:w="100"/>
            </w:tcMar>
            <w:vAlign w:val="center"/>
          </w:tcPr>
          <w:p>
            <w:r>
              <w:rPr>
                <w:b w:val="false"/>
                <w:bCs w:val="false"/>
                <w:sz w:val="20"/>
                <w:szCs w:val="20"/>
              </w:rPr>
              <w:t xml:space="preserve">Antes de capturar (descarta tráfico)</w:t>
            </w:r>
          </w:p>
        </w:tc>
        <w:tc>
          <w:tcPr>
            <w:tcW w:type="dxa" w:w="3438"/>
            <w:tcMar>
              <w:top w:type="dxa" w:w="80"/>
              <w:left w:type="dxa" w:w="100"/>
              <w:bottom w:type="dxa" w:w="80"/>
              <w:right w:type="dxa" w:w="100"/>
            </w:tcMar>
            <w:vAlign w:val="center"/>
          </w:tcPr>
          <w:p>
            <w:r>
              <w:rPr>
                <w:b w:val="false"/>
                <w:bCs w:val="false"/>
                <w:sz w:val="20"/>
                <w:szCs w:val="20"/>
              </w:rPr>
              <w:t xml:space="preserve">Después de capturar (solo oculta)</w:t>
            </w:r>
          </w:p>
        </w:tc>
      </w:tr>
      <w:tr>
        <w:trPr>
          <w:cantSplit/>
        </w:trPr>
        <w:tc>
          <w:tcPr>
            <w:tcW w:type="dxa" w:w="2149"/>
            <w:shd w:fill="EDEDED" w:color="auto" w:val="clear"/>
            <w:tcMar>
              <w:top w:type="dxa" w:w="80"/>
              <w:left w:type="dxa" w:w="100"/>
              <w:bottom w:type="dxa" w:w="80"/>
              <w:right w:type="dxa" w:w="100"/>
            </w:tcMar>
            <w:vAlign w:val="center"/>
          </w:tcPr>
          <w:p>
            <w:r>
              <w:rPr>
                <w:b w:val="false"/>
                <w:bCs w:val="false"/>
                <w:sz w:val="20"/>
                <w:szCs w:val="20"/>
              </w:rPr>
              <w:t xml:space="preserve">Sintaxis</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BPF: tcp port 80</w:t>
            </w:r>
          </w:p>
        </w:tc>
        <w:tc>
          <w:tcPr>
            <w:tcW w:type="dxa" w:w="3438"/>
            <w:shd w:fill="EDEDED" w:color="auto" w:val="clear"/>
            <w:tcMar>
              <w:top w:type="dxa" w:w="80"/>
              <w:left w:type="dxa" w:w="100"/>
              <w:bottom w:type="dxa" w:w="80"/>
              <w:right w:type="dxa" w:w="100"/>
            </w:tcMar>
            <w:vAlign w:val="center"/>
          </w:tcPr>
          <w:p>
            <w:r>
              <w:rPr>
                <w:b w:val="false"/>
                <w:bCs w:val="false"/>
                <w:sz w:val="20"/>
                <w:szCs w:val="20"/>
              </w:rPr>
              <w:t xml:space="preserve">Wireshark: http</w:t>
            </w:r>
          </w:p>
        </w:tc>
      </w:tr>
    </w:tbl>
    <w:p>
      <w:pPr>
        <w:pStyle w:val="Heading3"/>
        <w:spacing w:after="120" w:before="200"/>
      </w:pPr>
      <w:r>
        <w:t xml:space="preserve">Práctica — Primera captura</w:t>
      </w:r>
    </w:p>
    <w:p>
      <w:pPr>
        <w:pStyle w:val="ListParagraph"/>
        <w:numPr>
          <w:ilvl w:val="0"/>
          <w:numId w:val="2"/>
        </w:numPr>
        <w:spacing w:after="90"/>
      </w:pPr>
      <w:r>
        <w:t xml:space="preserve">Abrir Wireshark, seleccionar la interfaz activa e iniciar la captura.</w:t>
      </w:r>
    </w:p>
    <w:p>
      <w:pPr>
        <w:pStyle w:val="ListParagraph"/>
        <w:numPr>
          <w:ilvl w:val="0"/>
          <w:numId w:val="2"/>
        </w:numPr>
        <w:spacing w:after="90"/>
      </w:pPr>
      <w:r>
        <w:t xml:space="preserve">Generar tráfico de prueba: curl http://example.com o navegar a un sitio.</w:t>
      </w:r>
    </w:p>
    <w:p>
      <w:pPr>
        <w:pStyle w:val="ListParagraph"/>
        <w:numPr>
          <w:ilvl w:val="0"/>
          <w:numId w:val="2"/>
        </w:numPr>
        <w:spacing w:after="90"/>
      </w:pPr>
      <w:r>
        <w:t xml:space="preserve">Filtrar por http, ubicar el GET y la respuesta 200 OK.</w:t>
      </w:r>
    </w:p>
    <w:p>
      <w:pPr>
        <w:pStyle w:val="ListParagraph"/>
        <w:numPr>
          <w:ilvl w:val="0"/>
          <w:numId w:val="2"/>
        </w:numPr>
        <w:spacing w:after="90"/>
      </w:pPr>
      <w:r>
        <w:t xml:space="preserve">Detener la captura y guardar como .pcapng.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práctica hay entre guardar en .pcap y en .pcapng, y por qué importa para conservar evidencia forense?</w:t>
            </w:r>
          </w:p>
        </w:tc>
      </w:tr>
    </w:tbl>
    <w:p>
      <w:r>
        <w:br w:type="page"/>
      </w:r>
    </w:p>
    <w:p>
      <w:pPr>
        <w:pStyle w:val="Heading1"/>
        <w:spacing w:after="200" w:before="400"/>
      </w:pPr>
      <w:r>
        <w:t xml:space="preserve">3. Leer el tráfico como un analista</w:t>
      </w:r>
    </w:p>
    <w:p>
      <w:pPr>
        <w:pStyle w:val="Heading3"/>
        <w:spacing w:after="120" w:before="200"/>
      </w:pPr>
      <w:r>
        <w:t xml:space="preserve">Filtros de visualización que se usan constantemente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shd w:fill="2E5395" w:color="auto" w:val="clear"/>
            <w:tcMar>
              <w:top w:type="dxa" w:w="80"/>
              <w:left w:type="dxa" w:w="100"/>
              <w:bottom w:type="dxa" w:w="80"/>
              <w:right w:type="dxa" w:w="100"/>
            </w:tcMar>
            <w:vAlign w:val="center"/>
          </w:tcPr>
          <w:p>
            <w:r>
              <w:rPr>
                <w:b/>
                <w:bCs/>
                <w:color w:val="FFFFFF"/>
                <w:sz w:val="20"/>
                <w:szCs w:val="20"/>
              </w:rPr>
              <w:t xml:space="preserve">Filtro</w:t>
            </w:r>
          </w:p>
        </w:tc>
        <w:tc>
          <w:tcPr>
            <w:tcW w:type="dxa" w:w="5416"/>
            <w:shd w:fill="2E5395" w:color="auto" w:val="clear"/>
            <w:tcMar>
              <w:top w:type="dxa" w:w="80"/>
              <w:left w:type="dxa" w:w="100"/>
              <w:bottom w:type="dxa" w:w="80"/>
              <w:right w:type="dxa" w:w="100"/>
            </w:tcMar>
            <w:vAlign w:val="center"/>
          </w:tcPr>
          <w:p>
            <w:r>
              <w:rPr>
                <w:b/>
                <w:bCs/>
                <w:color w:val="FFFFFF"/>
                <w:sz w:val="20"/>
                <w:szCs w:val="20"/>
              </w:rPr>
              <w:t xml:space="preserve">Para qué sirve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ip.addr == x.x.x.x</w:t>
            </w:r>
          </w:p>
        </w:tc>
        <w:tc>
          <w:tcPr>
            <w:tcW w:type="dxa" w:w="5416"/>
            <w:tcMar>
              <w:top w:type="dxa" w:w="80"/>
              <w:left w:type="dxa" w:w="100"/>
              <w:bottom w:type="dxa" w:w="80"/>
              <w:right w:type="dxa" w:w="100"/>
            </w:tcMar>
            <w:vAlign w:val="center"/>
          </w:tcPr>
          <w:p>
            <w:r>
              <w:rPr>
                <w:b w:val="false"/>
                <w:bCs w:val="false"/>
                <w:sz w:val="20"/>
                <w:szCs w:val="20"/>
              </w:rPr>
              <w:t xml:space="preserve">Aislar todo el tráfico de/hacia un host</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tcp.port == 22</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Aislar tráfico de un puerto específico</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tcp.flags.syn==1 and tcp.flags.ack==0</w:t>
            </w:r>
          </w:p>
        </w:tc>
        <w:tc>
          <w:tcPr>
            <w:tcW w:type="dxa" w:w="5416"/>
            <w:tcMar>
              <w:top w:type="dxa" w:w="80"/>
              <w:left w:type="dxa" w:w="100"/>
              <w:bottom w:type="dxa" w:w="80"/>
              <w:right w:type="dxa" w:w="100"/>
            </w:tcMar>
            <w:vAlign w:val="center"/>
          </w:tcPr>
          <w:p>
            <w:r>
              <w:rPr>
                <w:b w:val="false"/>
                <w:bCs w:val="false"/>
                <w:sz w:val="20"/>
                <w:szCs w:val="20"/>
              </w:rPr>
              <w:t xml:space="preserve">Solo intentos de apertura de conexión (clave para detectar escaneos)</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tcp.flags.reset==1</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Conexiones rechazadas o cerradas abruptamente</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http / dns / arp / telnet / ftp</w:t>
            </w:r>
          </w:p>
        </w:tc>
        <w:tc>
          <w:tcPr>
            <w:tcW w:type="dxa" w:w="5416"/>
            <w:tcMar>
              <w:top w:type="dxa" w:w="80"/>
              <w:left w:type="dxa" w:w="100"/>
              <w:bottom w:type="dxa" w:w="80"/>
              <w:right w:type="dxa" w:w="100"/>
            </w:tcMar>
            <w:vAlign w:val="center"/>
          </w:tcPr>
          <w:p>
            <w:r>
              <w:rPr>
                <w:b w:val="false"/>
                <w:bCs w:val="false"/>
                <w:sz w:val="20"/>
                <w:szCs w:val="20"/>
              </w:rPr>
              <w:t xml:space="preserve">Aislar un protocolo completo</w:t>
            </w:r>
          </w:p>
        </w:tc>
      </w:tr>
      <w:tr>
        <w:trPr>
          <w:cantSplit/>
        </w:trP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tcp.analysis.retransmission</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Retransmisiones — síntoma de problemas de red o evasión</w:t>
            </w:r>
          </w:p>
        </w:tc>
      </w:tr>
      <w:tr>
        <w:trPr>
          <w:cantSplit/>
        </w:trPr>
        <w:tc>
          <w:tcPr>
            <w:tcW w:type="dxa" w:w="3610"/>
            <w:tcMar>
              <w:top w:type="dxa" w:w="80"/>
              <w:left w:type="dxa" w:w="100"/>
              <w:bottom w:type="dxa" w:w="80"/>
              <w:right w:type="dxa" w:w="100"/>
            </w:tcMar>
            <w:vAlign w:val="center"/>
          </w:tcPr>
          <w:p>
            <w:r>
              <w:rPr>
                <w:b w:val="false"/>
                <w:bCs w:val="false"/>
                <w:sz w:val="20"/>
                <w:szCs w:val="20"/>
              </w:rPr>
              <w:t xml:space="preserve">frame contains "password"</w:t>
            </w:r>
          </w:p>
        </w:tc>
        <w:tc>
          <w:tcPr>
            <w:tcW w:type="dxa" w:w="5416"/>
            <w:tcMar>
              <w:top w:type="dxa" w:w="80"/>
              <w:left w:type="dxa" w:w="100"/>
              <w:bottom w:type="dxa" w:w="80"/>
              <w:right w:type="dxa" w:w="100"/>
            </w:tcMar>
            <w:vAlign w:val="center"/>
          </w:tcPr>
          <w:p>
            <w:r>
              <w:rPr>
                <w:b w:val="false"/>
                <w:bCs w:val="false"/>
                <w:sz w:val="20"/>
                <w:szCs w:val="20"/>
              </w:rPr>
              <w:t xml:space="preserve">Buscar una cadena en cualquier capa del paquete</w:t>
            </w:r>
          </w:p>
        </w:tc>
      </w:tr>
    </w:tbl>
    <w:p>
      <w:pPr>
        <w:spacing w:after="160"/>
        <w:jc w:val="both"/>
      </w:pPr>
      <w:r>
        <w:t xml:space="preserve">Follow TCP Stream (clic derecho sobre un paquete &gt; Follow &gt; TCP Stream) reconstruye toda la conversación en orden — es la técnica que se usa en la parte 4 para demostrar la exposición de credenciales.</w:t>
      </w:r>
    </w:p>
    <w:p>
      <w:pPr>
        <w:spacing w:after="160"/>
        <w:jc w:val="both"/>
      </w:pPr>
      <w:r>
        <w:t xml:space="preserve">El saludo de tres vías (SYN, SYN-ACK, ACK) abre toda conexión TCP; un cierre limpio usa FIN, uno abrupto o un rechazo usa RST. Reconocer este patrón es la base para detectar escaneos en la parte 5.</w:t>
      </w:r>
    </w:p>
    <w:p>
      <w:pPr>
        <w:pStyle w:val="Heading3"/>
        <w:spacing w:after="120" w:before="200"/>
      </w:pPr>
      <w:r>
        <w:t xml:space="preserve">Práctica — Capturar y diseccionar una sesión de navegación</w:t>
      </w:r>
    </w:p>
    <w:p>
      <w:pPr>
        <w:pStyle w:val="ListParagraph"/>
        <w:numPr>
          <w:ilvl w:val="0"/>
          <w:numId w:val="3"/>
        </w:numPr>
        <w:spacing w:after="90"/>
      </w:pPr>
      <w:r>
        <w:t xml:space="preserve">Iniciar una captura y generar una petición web (curl o navegador).</w:t>
      </w:r>
    </w:p>
    <w:p>
      <w:pPr>
        <w:pStyle w:val="ListParagraph"/>
        <w:numPr>
          <w:ilvl w:val="0"/>
          <w:numId w:val="3"/>
        </w:numPr>
        <w:spacing w:after="90"/>
      </w:pPr>
      <w:r>
        <w:t xml:space="preserve">Filtrar dns y observar la consulta y su respuesta.</w:t>
      </w:r>
    </w:p>
    <w:p>
      <w:pPr>
        <w:pStyle w:val="ListParagraph"/>
        <w:numPr>
          <w:ilvl w:val="0"/>
          <w:numId w:val="3"/>
        </w:numPr>
        <w:spacing w:after="90"/>
      </w:pPr>
      <w:r>
        <w:t xml:space="preserve">Filtrar tcp.flags.syn==1 and tcp.flags.ack==0 y ubicar el SYN inicial.</w:t>
      </w:r>
    </w:p>
    <w:p>
      <w:pPr>
        <w:pStyle w:val="ListParagraph"/>
        <w:numPr>
          <w:ilvl w:val="0"/>
          <w:numId w:val="3"/>
        </w:numPr>
        <w:spacing w:after="90"/>
      </w:pPr>
      <w:r>
        <w:t xml:space="preserve">Filtrar http, abrir Follow TCP Stream y anotar qué viaja en texto claro (cabeceras, cookies).</w:t>
      </w:r>
    </w:p>
    <w:p>
      <w:pPr>
        <w:pStyle w:val="ListParagraph"/>
        <w:numPr>
          <w:ilvl w:val="0"/>
          <w:numId w:val="3"/>
        </w:numPr>
        <w:spacing w:after="90"/>
      </w:pPr>
      <w:r>
        <w:t xml:space="preserve">Ir a Estadísticas &gt; Jerarquía de protocolos y a Estadísticas &gt; Conversaciones: identificar el par host:puerto más activo.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la vista de Conversaciones es una de las primeras herramientas que abre un analista al recibir una alerta de tráfico anómalo?</w:t>
            </w:r>
          </w:p>
        </w:tc>
      </w:tr>
    </w:tbl>
    <w:p>
      <w:r>
        <w:br w:type="page"/>
      </w:r>
    </w:p>
    <w:p>
      <w:pPr>
        <w:pStyle w:val="Heading1"/>
        <w:spacing w:after="200" w:before="400"/>
      </w:pPr>
      <w:r>
        <w:t xml:space="preserve">4. Telnet vs SSH: el costo real de un protocolo sin cifrar</w:t>
      </w:r>
    </w:p>
    <w:p>
      <w:pPr>
        <w:spacing w:after="160"/>
        <w:jc w:val="both"/>
      </w:pPr>
      <w:r>
        <w:t xml:space="preserve">Telnet (RFC 854 [4]) transmite usuario, contraseña y comandos en texto claro: cualquiera con visibilidad del segmento de red puede leerlos. SSH (RFC 4251 [5]) cifra el canal completo, autentica al servidor mediante su host key y verifica la integridad de cada mensaje con HMAC.</w:t>
      </w:r>
    </w:p>
    <w:p>
      <w:pPr>
        <w:pStyle w:val="Heading3"/>
        <w:spacing w:after="120" w:before="200"/>
      </w:pPr>
      <w:r>
        <w:t xml:space="preserve">Práctica — Capturar Telnet y exponer credenciales</w:t>
      </w:r>
    </w:p>
    <w:p>
      <w:pPr>
        <w:spacing w:after="160"/>
        <w:jc w:val="both"/>
      </w:pPr>
      <w:r>
        <w:t xml:space="preserve">Dentro del contenedor analyst del laboratorio:</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/work/capturas/telnet.pcapng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Conectarse por Telnet al servidor del laboratorio</w:t>
      </w:r>
    </w:p>
    <w:p>
      <w:pPr>
        <w:pBdr>
          <w:left w:val="single" w:color="2E5395" w:sz="6"/>
        </w:pBdr>
        <w:shd w:fill="F5F5F5" w:color="auto" w:val="clear"/>
        <w:spacing w:after="0" w:before="0"/>
        <w:ind w:left="200"/>
      </w:pPr>
      <w:r>
        <w:rPr>
          <w:rFonts w:ascii="Consolas" w:cs="Consolas" w:eastAsia="Consolas" w:hAnsi="Consolas"/>
          <w:sz w:val="20"/>
          <w:szCs w:val="20"/>
        </w:rPr>
        <w:t xml:space="preserve">telnet telnet-server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labuser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whoami</w:t>
      </w:r>
    </w:p>
    <w:p>
      <w:pPr>
        <w:pBdr>
          <w:left w:val="single" w:color="2E5395" w:sz="6"/>
        </w:pBdr>
        <w:shd w:fill="F5F5F5" w:color="auto" w:val="clear"/>
        <w:spacing w:after="0" w:before="0"/>
        <w:ind w:left="200"/>
      </w:pPr>
      <w:r>
        <w:rPr>
          <w:rFonts w:ascii="Consolas" w:cs="Consolas" w:eastAsia="Consolas" w:hAnsi="Consolas"/>
          <w:sz w:val="20"/>
          <w:szCs w:val="20"/>
        </w:rPr>
        <w:t xml:space="preserve">exit</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Abrir telnet.pcapng, filtrar telnet, hacer Follow TCP Stream y localizar el usuario y la contraseña en texto legible.</w:t>
      </w:r>
    </w:p>
    <w:p>
      <w:pPr>
        <w:pStyle w:val="Heading3"/>
        <w:spacing w:after="120" w:before="200"/>
      </w:pPr>
      <w:r>
        <w:t xml:space="preserve">Práctica — Repetir la conexión por SSH y contrastar</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/work/capturas/ssh.pcapng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ssh labuser@ssh-server   # misma contraseña: Laboratorio123</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Al intentar Follow TCP Stream sobre este tráfico, el contenido es ilegible. Se compara ambas capturas en una tabla propia (número de paquetes, tamaño promedio, legibilidad del contenido).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Telnet</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SSH</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Puerto</w:t>
            </w:r>
          </w:p>
        </w:tc>
        <w:tc>
          <w:tcPr>
            <w:tcW w:type="dxa" w:w="3159"/>
            <w:tcMar>
              <w:top w:type="dxa" w:w="80"/>
              <w:left w:type="dxa" w:w="100"/>
              <w:bottom w:type="dxa" w:w="80"/>
              <w:right w:type="dxa" w:w="100"/>
            </w:tcMar>
            <w:vAlign w:val="center"/>
          </w:tcPr>
          <w:p>
            <w:r>
              <w:rPr>
                <w:b w:val="false"/>
                <w:bCs w:val="false"/>
                <w:sz w:val="20"/>
                <w:szCs w:val="20"/>
              </w:rPr>
              <w:t xml:space="preserve">23</w:t>
            </w:r>
          </w:p>
        </w:tc>
        <w:tc>
          <w:tcPr>
            <w:tcW w:type="dxa" w:w="3159"/>
            <w:tcMar>
              <w:top w:type="dxa" w:w="80"/>
              <w:left w:type="dxa" w:w="100"/>
              <w:bottom w:type="dxa" w:w="80"/>
              <w:right w:type="dxa" w:w="100"/>
            </w:tcMar>
            <w:vAlign w:val="center"/>
          </w:tcPr>
          <w:p>
            <w:r>
              <w:rPr>
                <w:b w:val="false"/>
                <w:bCs w:val="false"/>
                <w:sz w:val="20"/>
                <w:szCs w:val="20"/>
              </w:rPr>
              <w:t xml:space="preserve">22</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Cifrado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No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Exposición ante sniffing</w:t>
            </w:r>
          </w:p>
        </w:tc>
        <w:tc>
          <w:tcPr>
            <w:tcW w:type="dxa" w:w="3159"/>
            <w:tcMar>
              <w:top w:type="dxa" w:w="80"/>
              <w:left w:type="dxa" w:w="100"/>
              <w:bottom w:type="dxa" w:w="80"/>
              <w:right w:type="dxa" w:w="100"/>
            </w:tcMar>
            <w:vAlign w:val="center"/>
          </w:tcPr>
          <w:p>
            <w:r>
              <w:rPr>
                <w:b w:val="false"/>
                <w:bCs w:val="false"/>
                <w:sz w:val="20"/>
                <w:szCs w:val="20"/>
              </w:rPr>
              <w:t xml:space="preserve">Alta</w:t>
            </w:r>
          </w:p>
        </w:tc>
        <w:tc>
          <w:tcPr>
            <w:tcW w:type="dxa" w:w="3159"/>
            <w:tcMar>
              <w:top w:type="dxa" w:w="80"/>
              <w:left w:type="dxa" w:w="100"/>
              <w:bottom w:type="dxa" w:w="80"/>
              <w:right w:type="dxa" w:w="100"/>
            </w:tcMar>
            <w:vAlign w:val="center"/>
          </w:tcPr>
          <w:p>
            <w:r>
              <w:rPr>
                <w:b w:val="false"/>
                <w:bCs w:val="false"/>
                <w:sz w:val="20"/>
                <w:szCs w:val="20"/>
              </w:rPr>
              <w:t xml:space="preserve">Baja</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Estado recomendado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Deshabilitar</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Estándar obligatorio</w:t>
            </w:r>
          </w:p>
        </w:tc>
      </w:tr>
    </w:tbl>
    <w:p>
      <w:pPr>
        <w:pStyle w:val="Heading3"/>
        <w:spacing w:after="120" w:before="200"/>
      </w:pPr>
      <w:r>
        <w:t xml:space="preserve">Mapeo a marcos de seguridad</w:t>
      </w:r>
    </w:p>
    <w:p>
      <w:pPr>
        <w:spacing w:after="160"/>
        <w:jc w:val="both"/>
      </w:pPr>
      <w:r>
        <w:t xml:space="preserve">Así se documenta este hallazgo en un informe profesional, no solo como "buena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Referencia</w:t>
            </w:r>
          </w:p>
        </w:tc>
        <w:tc>
          <w:tcPr>
            <w:tcW w:type="dxa" w:w="4332"/>
            <w:shd w:fill="2E5395" w:color="auto" w:val="clear"/>
            <w:tcMar>
              <w:top w:type="dxa" w:w="80"/>
              <w:left w:type="dxa" w:w="100"/>
              <w:bottom w:type="dxa" w:w="80"/>
              <w:right w:type="dxa" w:w="100"/>
            </w:tcMar>
            <w:vAlign w:val="center"/>
          </w:tcPr>
          <w:p>
            <w:r>
              <w:rPr>
                <w:b/>
                <w:bCs/>
                <w:color w:val="FFFFFF"/>
                <w:sz w:val="20"/>
                <w:szCs w:val="20"/>
              </w:rPr>
              <w:t xml:space="preserve">Por qué aplica</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MITRE ATT&amp;CK</w:t>
            </w:r>
          </w:p>
        </w:tc>
        <w:tc>
          <w:tcPr>
            <w:tcW w:type="dxa" w:w="2708"/>
            <w:tcMar>
              <w:top w:type="dxa" w:w="80"/>
              <w:left w:type="dxa" w:w="100"/>
              <w:bottom w:type="dxa" w:w="80"/>
              <w:right w:type="dxa" w:w="100"/>
            </w:tcMar>
            <w:vAlign w:val="center"/>
          </w:tcPr>
          <w:p>
            <w:r>
              <w:rPr>
                <w:b w:val="false"/>
                <w:bCs w:val="false"/>
                <w:sz w:val="20"/>
                <w:szCs w:val="20"/>
              </w:rPr>
              <w:t xml:space="preserve">T1040 — Network Sniffing</w:t>
            </w:r>
          </w:p>
        </w:tc>
        <w:tc>
          <w:tcPr>
            <w:tcW w:type="dxa" w:w="4332"/>
            <w:tcMar>
              <w:top w:type="dxa" w:w="80"/>
              <w:left w:type="dxa" w:w="100"/>
              <w:bottom w:type="dxa" w:w="80"/>
              <w:right w:type="dxa" w:w="100"/>
            </w:tcMar>
            <w:vAlign w:val="center"/>
          </w:tcPr>
          <w:p>
            <w:r>
              <w:rPr>
                <w:b w:val="false"/>
                <w:bCs w:val="false"/>
                <w:sz w:val="20"/>
                <w:szCs w:val="20"/>
              </w:rPr>
              <w:t xml:space="preserve">Técnica que un atacante usaría para capturar las credenciales observadas en claro.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MITRE ATT&amp;CK</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T1552 — Unsecured Credentials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Cubre credenciales transmitidas o almacenadas sin protección, como en Telnet.</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NIST SP 800-53</w:t>
            </w:r>
          </w:p>
        </w:tc>
        <w:tc>
          <w:tcPr>
            <w:tcW w:type="dxa" w:w="2708"/>
            <w:tcMar>
              <w:top w:type="dxa" w:w="80"/>
              <w:left w:type="dxa" w:w="100"/>
              <w:bottom w:type="dxa" w:w="80"/>
              <w:right w:type="dxa" w:w="100"/>
            </w:tcMar>
            <w:vAlign w:val="center"/>
          </w:tcPr>
          <w:p>
            <w:r>
              <w:rPr>
                <w:b w:val="false"/>
                <w:bCs w:val="false"/>
                <w:sz w:val="20"/>
                <w:szCs w:val="20"/>
              </w:rPr>
              <w:t xml:space="preserve">AC-17 (Remote Access) [9]</w:t>
            </w:r>
          </w:p>
        </w:tc>
        <w:tc>
          <w:tcPr>
            <w:tcW w:type="dxa" w:w="4332"/>
            <w:tcMar>
              <w:top w:type="dxa" w:w="80"/>
              <w:left w:type="dxa" w:w="100"/>
              <w:bottom w:type="dxa" w:w="80"/>
              <w:right w:type="dxa" w:w="100"/>
            </w:tcMar>
            <w:vAlign w:val="center"/>
          </w:tcPr>
          <w:p>
            <w:r>
              <w:rPr>
                <w:b w:val="false"/>
                <w:bCs w:val="false"/>
                <w:sz w:val="20"/>
                <w:szCs w:val="20"/>
              </w:rPr>
              <w:t xml:space="preserve">Exige controles compensatorios (cifrado, MFA) para todo acceso remoto.</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PR.DS-2 (datos en tránsito protegidos)</w:t>
            </w:r>
          </w:p>
        </w:tc>
        <w:tc>
          <w:tcPr>
            <w:tcW w:type="dxa" w:w="4332"/>
            <w:shd w:fill="EDEDED" w:color="auto" w:val="clear"/>
            <w:tcMar>
              <w:top w:type="dxa" w:w="80"/>
              <w:left w:type="dxa" w:w="100"/>
              <w:bottom w:type="dxa" w:w="80"/>
              <w:right w:type="dxa" w:w="100"/>
            </w:tcMar>
            <w:vAlign w:val="center"/>
          </w:tcPr>
          <w:p>
            <w:r>
              <w:rPr>
                <w:b w:val="false"/>
                <w:bCs w:val="false"/>
                <w:sz w:val="20"/>
                <w:szCs w:val="20"/>
              </w:rPr>
              <w:t xml:space="preserve">Justifica por qué Telnet incumple el objetivo de protección de datos en tránsito.</w:t>
            </w:r>
          </w:p>
        </w:tc>
      </w:tr>
    </w:tbl>
    <w:p>
      <w:pPr>
        <w:spacing w:after="160"/>
        <w:jc w:val="both"/>
      </w:pPr>
      <w:r>
        <w:t xml:space="preserve">Mitigación: deshabilitar Telnet en servidores/routers/switches, exigir SSHv2, aplicar MFA en accesos críticos, rotar llaves privadas y monitorear intentos de conexión a los puertos 22/23 en el SIEM.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Más allá de "usar SSH", ¿qué otro control (de red, no solo de protocolo) reduciría el impacto si un atacante interceptara tráfico Telnet en un segmento real?</w:t>
            </w:r>
          </w:p>
        </w:tc>
      </w:tr>
    </w:tbl>
    <w:p>
      <w:r>
        <w:br w:type="page"/>
      </w:r>
    </w:p>
    <w:p>
      <w:pPr>
        <w:pStyle w:val="Heading1"/>
        <w:spacing w:after="200" w:before="400"/>
      </w:pPr>
      <w:r>
        <w:t xml:space="preserve">5. Detectar un escaneo de puertos antes de que sea un incidente</w:t>
      </w:r>
    </w:p>
    <w:p>
      <w:pPr>
        <w:spacing w:after="160"/>
        <w:jc w:val="both"/>
      </w:pPr>
      <w:r>
        <w:t xml:space="preserve">El escaneo de puertos es la fase de reconocimiento de un ataque — y también la primera auditoría que hace un equipo de seguridad sobre su propia red. Nmap [8] implementa varias técnicas: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610"/>
        <w:gridCol w:w="3430"/>
      </w:tblGrid>
      <w:tr>
        <w:trPr>
          <w:cantSplit/>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Técnica</w:t>
            </w:r>
          </w:p>
        </w:tc>
        <w:tc>
          <w:tcPr>
            <w:tcW w:type="dxa" w:w="3610"/>
            <w:shd w:fill="2E5395" w:color="auto" w:val="clear"/>
            <w:tcMar>
              <w:top w:type="dxa" w:w="80"/>
              <w:left w:type="dxa" w:w="100"/>
              <w:bottom w:type="dxa" w:w="80"/>
              <w:right w:type="dxa" w:w="100"/>
            </w:tcMar>
            <w:vAlign w:val="center"/>
          </w:tcPr>
          <w:p>
            <w:r>
              <w:rPr>
                <w:b/>
                <w:bCs/>
                <w:color w:val="FFFFFF"/>
                <w:sz w:val="20"/>
                <w:szCs w:val="20"/>
              </w:rPr>
              <w:t xml:space="preserve">Cómo actúa</w:t>
            </w:r>
          </w:p>
        </w:tc>
        <w:tc>
          <w:tcPr>
            <w:tcW w:type="dxa" w:w="3430"/>
            <w:shd w:fill="2E5395" w:color="auto" w:val="clear"/>
            <w:tcMar>
              <w:top w:type="dxa" w:w="80"/>
              <w:left w:type="dxa" w:w="100"/>
              <w:bottom w:type="dxa" w:w="80"/>
              <w:right w:type="dxa" w:w="100"/>
            </w:tcMar>
            <w:vAlign w:val="center"/>
          </w:tcPr>
          <w:p>
            <w:r>
              <w:rPr>
                <w:b/>
                <w:bCs/>
                <w:color w:val="FFFFFF"/>
                <w:sz w:val="20"/>
                <w:szCs w:val="20"/>
              </w:rPr>
              <w:t xml:space="preserve">Rastro en Wireshark</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SYN scan (-sS)</w:t>
            </w:r>
          </w:p>
        </w:tc>
        <w:tc>
          <w:tcPr>
            <w:tcW w:type="dxa" w:w="3610"/>
            <w:tcMar>
              <w:top w:type="dxa" w:w="80"/>
              <w:left w:type="dxa" w:w="100"/>
              <w:bottom w:type="dxa" w:w="80"/>
              <w:right w:type="dxa" w:w="100"/>
            </w:tcMar>
            <w:vAlign w:val="center"/>
          </w:tcPr>
          <w:p>
            <w:r>
              <w:rPr>
                <w:b w:val="false"/>
                <w:bCs w:val="false"/>
                <w:sz w:val="20"/>
                <w:szCs w:val="20"/>
              </w:rPr>
              <w:t xml:space="preserve">Abre a medias (half-open) cada puerto</w:t>
            </w:r>
          </w:p>
        </w:tc>
        <w:tc>
          <w:tcPr>
            <w:tcW w:type="dxa" w:w="3430"/>
            <w:tcMar>
              <w:top w:type="dxa" w:w="80"/>
              <w:left w:type="dxa" w:w="100"/>
              <w:bottom w:type="dxa" w:w="80"/>
              <w:right w:type="dxa" w:w="100"/>
            </w:tcMar>
            <w:vAlign w:val="center"/>
          </w:tcPr>
          <w:p>
            <w:r>
              <w:rPr>
                <w:b w:val="false"/>
                <w:bCs w:val="false"/>
                <w:sz w:val="20"/>
                <w:szCs w:val="20"/>
              </w:rPr>
              <w:t xml:space="preserve">Muchos SYN sin ACK final hacia distintos puertos</w:t>
            </w:r>
          </w:p>
        </w:tc>
      </w:tr>
      <w:tr>
        <w:trPr>
          <w:cantSplit/>
        </w:trP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Connect scan (-sT)</w:t>
            </w:r>
          </w:p>
        </w:tc>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Completa el handshake en cada puerto</w:t>
            </w:r>
          </w:p>
        </w:tc>
        <w:tc>
          <w:tcPr>
            <w:tcW w:type="dxa" w:w="3430"/>
            <w:shd w:fill="EDEDED" w:color="auto" w:val="clear"/>
            <w:tcMar>
              <w:top w:type="dxa" w:w="80"/>
              <w:left w:type="dxa" w:w="100"/>
              <w:bottom w:type="dxa" w:w="80"/>
              <w:right w:type="dxa" w:w="100"/>
            </w:tcMar>
            <w:vAlign w:val="center"/>
          </w:tcPr>
          <w:p>
            <w:r>
              <w:rPr>
                <w:b w:val="false"/>
                <w:bCs w:val="false"/>
                <w:sz w:val="20"/>
                <w:szCs w:val="20"/>
              </w:rPr>
              <w:t xml:space="preserve">Conexiones completas, cerradas rápido</w:t>
            </w:r>
          </w:p>
        </w:tc>
      </w:tr>
      <w:tr>
        <w:trPr>
          <w:cantSplit/>
        </w:trPr>
        <w:tc>
          <w:tcPr>
            <w:tcW w:type="dxa" w:w="1986"/>
            <w:tcMar>
              <w:top w:type="dxa" w:w="80"/>
              <w:left w:type="dxa" w:w="100"/>
              <w:bottom w:type="dxa" w:w="80"/>
              <w:right w:type="dxa" w:w="100"/>
            </w:tcMar>
            <w:vAlign w:val="center"/>
          </w:tcPr>
          <w:p>
            <w:r>
              <w:rPr>
                <w:b w:val="false"/>
                <w:bCs w:val="false"/>
                <w:sz w:val="20"/>
                <w:szCs w:val="20"/>
              </w:rPr>
              <w:t xml:space="preserve">UDP scan (-sU)</w:t>
            </w:r>
          </w:p>
        </w:tc>
        <w:tc>
          <w:tcPr>
            <w:tcW w:type="dxa" w:w="3610"/>
            <w:tcMar>
              <w:top w:type="dxa" w:w="80"/>
              <w:left w:type="dxa" w:w="100"/>
              <w:bottom w:type="dxa" w:w="80"/>
              <w:right w:type="dxa" w:w="100"/>
            </w:tcMar>
            <w:vAlign w:val="center"/>
          </w:tcPr>
          <w:p>
            <w:r>
              <w:rPr>
                <w:b w:val="false"/>
                <w:bCs w:val="false"/>
                <w:sz w:val="20"/>
                <w:szCs w:val="20"/>
              </w:rPr>
              <w:t xml:space="preserve">Evalúa respuestas ICMP "puerto inalcanzable"</w:t>
            </w:r>
          </w:p>
        </w:tc>
        <w:tc>
          <w:tcPr>
            <w:tcW w:type="dxa" w:w="3430"/>
            <w:tcMar>
              <w:top w:type="dxa" w:w="80"/>
              <w:left w:type="dxa" w:w="100"/>
              <w:bottom w:type="dxa" w:w="80"/>
              <w:right w:type="dxa" w:w="100"/>
            </w:tcMar>
            <w:vAlign w:val="center"/>
          </w:tcPr>
          <w:p>
            <w:r>
              <w:rPr>
                <w:b w:val="false"/>
                <w:bCs w:val="false"/>
                <w:sz w:val="20"/>
                <w:szCs w:val="20"/>
              </w:rPr>
              <w:t xml:space="preserve">Ráfagas UDP + ICMP tipo 3 código 3</w:t>
            </w:r>
          </w:p>
        </w:tc>
      </w:tr>
    </w:tbl>
    <w:p>
      <w:pPr>
        <w:pStyle w:val="Heading3"/>
        <w:spacing w:after="120" w:before="200"/>
      </w:pPr>
      <w:r>
        <w:t xml:space="preserve">Práctica — Generar y detectar un escaneo</w:t>
      </w:r>
    </w:p>
    <w:p>
      <w:pPr>
        <w:pBdr>
          <w:left w:val="single" w:color="2E5395" w:sz="6"/>
        </w:pBdr>
        <w:shd w:fill="F5F5F5" w:color="auto" w:val="clear"/>
        <w:spacing w:after="0" w:before="80"/>
        <w:ind w:left="200"/>
      </w:pPr>
      <w:r>
        <w:rPr>
          <w:rFonts w:ascii="Consolas" w:cs="Consolas" w:eastAsia="Consolas" w:hAnsi="Consolas"/>
          <w:sz w:val="20"/>
          <w:szCs w:val="20"/>
        </w:rPr>
        <w:t xml:space="preserve"># En analyst: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/work/capturas/escaneo.pcapng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Escanear los tres servicios del laboratorio por nombre, sin IP</w:t>
      </w:r>
    </w:p>
    <w:p>
      <w:pPr>
        <w:pBdr>
          <w:left w:val="single" w:color="2E5395" w:sz="6"/>
        </w:pBdr>
        <w:shd w:fill="F5F5F5" w:color="auto" w:val="clear"/>
        <w:spacing w:after="0" w:before="0"/>
        <w:ind w:left="200"/>
      </w:pPr>
      <w:r>
        <w:rPr>
          <w:rFonts w:ascii="Consolas" w:cs="Consolas" w:eastAsia="Consolas" w:hAnsi="Consolas"/>
          <w:sz w:val="20"/>
          <w:szCs w:val="20"/>
        </w:rPr>
        <w:t xml:space="preserve">nmap -sS -p 1-1000 telnet-server ftp-server ssh-server</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Se filtra tcp.flags.syn==1 and tcp.flags.ack==0 y se cuenta cuántos puertos distintos contactó el mismo origen en segundos — el indicador más claro de un escaneo. También se revisa Estadísticas &gt; Gráfico de E/S: un escaneo se ve como una ráfaga uniforme de paquetes pequeños.</w:t>
      </w:r>
    </w:p>
    <w:p>
      <w:pPr>
        <w:pStyle w:val="Heading3"/>
        <w:spacing w:after="120" w:before="200"/>
      </w:pPr>
      <w:r>
        <w:t xml:space="preserve">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Marco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Referencia</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MITRE ATT&amp;CK</w:t>
            </w:r>
          </w:p>
        </w:tc>
        <w:tc>
          <w:tcPr>
            <w:tcW w:type="dxa" w:w="6318"/>
            <w:tcMar>
              <w:top w:type="dxa" w:w="80"/>
              <w:left w:type="dxa" w:w="100"/>
              <w:bottom w:type="dxa" w:w="80"/>
              <w:right w:type="dxa" w:w="100"/>
            </w:tcMar>
            <w:vAlign w:val="center"/>
          </w:tcPr>
          <w:p>
            <w:r>
              <w:rPr>
                <w:b w:val="false"/>
                <w:bCs w:val="false"/>
                <w:sz w:val="20"/>
                <w:szCs w:val="20"/>
              </w:rPr>
              <w:t xml:space="preserve">T1046 — Network Service Discovery</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NIST CSF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DE.CM-1 (la red se monitorea para detectar eventos potenciales)</w:t>
            </w:r>
          </w:p>
        </w:tc>
      </w:tr>
    </w:tbl>
    <w:p>
      <w:pPr>
        <w:spacing w:after="160"/>
        <w:jc w:val="both"/>
      </w:pPr>
      <w:r>
        <w:t xml:space="preserve">Mitigación: IDS/IPS con reglas de umbral para barridos, segmentación de red (mínima exposición), rate limiting de SYN entrantes, y repetir periódicamente la auditoría de la parte 1 para reducir la superficie real.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¿Qué diferencia esperaría ver en Wireshark entre un escaneo de reconocimiento y un ataque de fuerza bruta contra un solo servicio?</w:t>
            </w:r>
          </w:p>
        </w:tc>
      </w:tr>
    </w:tbl>
    <w:p>
      <w:r>
        <w:br w:type="page"/>
      </w:r>
    </w:p>
    <w:p>
      <w:pPr>
        <w:pStyle w:val="Heading1"/>
        <w:spacing w:after="200" w:before="400"/>
      </w:pPr>
      <w:r>
        <w:t xml:space="preserve">6. FileZilla y el problema de las copias sin control</w:t>
      </w:r>
    </w:p>
    <w:p>
      <w:pPr>
        <w:spacing w:after="160"/>
        <w:jc w:val="both"/>
      </w:pPr>
      <w:r>
        <w:t xml:space="preserve">FTP (RFC 959 [6]) transmite usuario, contraseña y archivos en texto claro por defecto. FileZilla es uno de los clientes FTP/SFTP más usados en entornos corporativos.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2437"/>
        <w:gridCol w:w="2437"/>
      </w:tblGrid>
      <w:tr>
        <w:trPr>
          <w:cantSplit/>
          <w:tblHeader/>
        </w:trPr>
        <w:tc>
          <w:tcPr>
            <w:tcW w:type="dxa" w:w="2166"/>
            <w:shd w:fill="2E5395" w:color="auto" w:val="clear"/>
            <w:tcMar>
              <w:top w:type="dxa" w:w="80"/>
              <w:left w:type="dxa" w:w="100"/>
              <w:bottom w:type="dxa" w:w="80"/>
              <w:right w:type="dxa" w:w="100"/>
            </w:tcMar>
            <w:vAlign w:val="center"/>
          </w:tcPr>
          <w:p>
            <w:r>
              <w:rPr>
                <w:b/>
                <w:bCs/>
                <w:color w:val="FFFFFF"/>
                <w:sz w:val="20"/>
                <w:szCs w:val="20"/>
              </w:rPr>
              <w:t xml:space="preserve"/>
            </w:r>
          </w:p>
        </w:tc>
        <w:tc>
          <w:tcPr>
            <w:tcW w:type="dxa" w:w="1986"/>
            <w:shd w:fill="2E5395" w:color="auto" w:val="clear"/>
            <w:tcMar>
              <w:top w:type="dxa" w:w="80"/>
              <w:left w:type="dxa" w:w="100"/>
              <w:bottom w:type="dxa" w:w="80"/>
              <w:right w:type="dxa" w:w="100"/>
            </w:tcMar>
            <w:vAlign w:val="center"/>
          </w:tcPr>
          <w:p>
            <w:r>
              <w:rPr>
                <w:b/>
                <w:bCs/>
                <w:color w:val="FFFFFF"/>
                <w:sz w:val="20"/>
                <w:szCs w:val="20"/>
              </w:rPr>
              <w:t xml:space="preserve">FTP</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FTPS</w:t>
            </w:r>
          </w:p>
        </w:tc>
        <w:tc>
          <w:tcPr>
            <w:tcW w:type="dxa" w:w="2437"/>
            <w:shd w:fill="2E5395" w:color="auto" w:val="clear"/>
            <w:tcMar>
              <w:top w:type="dxa" w:w="80"/>
              <w:left w:type="dxa" w:w="100"/>
              <w:bottom w:type="dxa" w:w="80"/>
              <w:right w:type="dxa" w:w="100"/>
            </w:tcMar>
            <w:vAlign w:val="center"/>
          </w:tcPr>
          <w:p>
            <w:r>
              <w:rPr>
                <w:b/>
                <w:bCs/>
                <w:color w:val="FFFFFF"/>
                <w:sz w:val="20"/>
                <w:szCs w:val="20"/>
              </w:rPr>
              <w:t xml:space="preserve">SFTP</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Cifrado</w:t>
            </w:r>
          </w:p>
        </w:tc>
        <w:tc>
          <w:tcPr>
            <w:tcW w:type="dxa" w:w="1986"/>
            <w:tcMar>
              <w:top w:type="dxa" w:w="80"/>
              <w:left w:type="dxa" w:w="100"/>
              <w:bottom w:type="dxa" w:w="80"/>
              <w:right w:type="dxa" w:w="100"/>
            </w:tcMar>
            <w:vAlign w:val="center"/>
          </w:tcPr>
          <w:p>
            <w:r>
              <w:rPr>
                <w:b w:val="false"/>
                <w:bCs w:val="false"/>
                <w:sz w:val="20"/>
                <w:szCs w:val="20"/>
              </w:rPr>
              <w:t xml:space="preserve">No</w:t>
            </w:r>
          </w:p>
        </w:tc>
        <w:tc>
          <w:tcPr>
            <w:tcW w:type="dxa" w:w="2437"/>
            <w:tcMar>
              <w:top w:type="dxa" w:w="80"/>
              <w:left w:type="dxa" w:w="100"/>
              <w:bottom w:type="dxa" w:w="80"/>
              <w:right w:type="dxa" w:w="100"/>
            </w:tcMar>
            <w:vAlign w:val="center"/>
          </w:tcPr>
          <w:p>
            <w:r>
              <w:rPr>
                <w:b w:val="false"/>
                <w:bCs w:val="false"/>
                <w:sz w:val="20"/>
                <w:szCs w:val="20"/>
              </w:rPr>
              <w:t xml:space="preserve">Sí</w:t>
            </w:r>
          </w:p>
        </w:tc>
        <w:tc>
          <w:tcPr>
            <w:tcW w:type="dxa" w:w="2437"/>
            <w:tcMar>
              <w:top w:type="dxa" w:w="80"/>
              <w:left w:type="dxa" w:w="100"/>
              <w:bottom w:type="dxa" w:w="80"/>
              <w:right w:type="dxa" w:w="100"/>
            </w:tcMar>
            <w:vAlign w:val="center"/>
          </w:tcPr>
          <w:p>
            <w:r>
              <w:rPr>
                <w:b w:val="false"/>
                <w:bCs w:val="false"/>
                <w:sz w:val="20"/>
                <w:szCs w:val="20"/>
              </w:rPr>
              <w:t xml:space="preserve">Sí</w:t>
            </w:r>
          </w:p>
        </w:tc>
      </w:tr>
      <w:tr>
        <w:trPr>
          <w:cantSplit/>
        </w:trPr>
        <w:tc>
          <w:tcPr>
            <w:tcW w:type="dxa" w:w="2166"/>
            <w:shd w:fill="EDEDED" w:color="auto" w:val="clear"/>
            <w:tcMar>
              <w:top w:type="dxa" w:w="80"/>
              <w:left w:type="dxa" w:w="100"/>
              <w:bottom w:type="dxa" w:w="80"/>
              <w:right w:type="dxa" w:w="100"/>
            </w:tcMar>
            <w:vAlign w:val="center"/>
          </w:tcPr>
          <w:p>
            <w:r>
              <w:rPr>
                <w:b w:val="false"/>
                <w:bCs w:val="false"/>
                <w:sz w:val="20"/>
                <w:szCs w:val="20"/>
              </w:rPr>
              <w:t xml:space="preserve">Compatibilidad con firewalls</w:t>
            </w:r>
          </w:p>
        </w:tc>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437"/>
            <w:shd w:fill="EDEDED" w:color="auto" w:val="clear"/>
            <w:tcMar>
              <w:top w:type="dxa" w:w="80"/>
              <w:left w:type="dxa" w:w="100"/>
              <w:bottom w:type="dxa" w:w="80"/>
              <w:right w:type="dxa" w:w="100"/>
            </w:tcMar>
            <w:vAlign w:val="center"/>
          </w:tcPr>
          <w:p>
            <w:r>
              <w:rPr>
                <w:b w:val="false"/>
                <w:bCs w:val="false"/>
                <w:sz w:val="20"/>
                <w:szCs w:val="20"/>
              </w:rPr>
              <w:t xml:space="preserve">Sencilla (un solo puerto)</w:t>
            </w:r>
          </w:p>
        </w:tc>
      </w:tr>
      <w:tr>
        <w:trPr>
          <w:cantSplit/>
        </w:trPr>
        <w:tc>
          <w:tcPr>
            <w:tcW w:type="dxa" w:w="2166"/>
            <w:tcMar>
              <w:top w:type="dxa" w:w="80"/>
              <w:left w:type="dxa" w:w="100"/>
              <w:bottom w:type="dxa" w:w="80"/>
              <w:right w:type="dxa" w:w="100"/>
            </w:tcMar>
            <w:vAlign w:val="center"/>
          </w:tcPr>
          <w:p>
            <w:r>
              <w:rPr>
                <w:b w:val="false"/>
                <w:bCs w:val="false"/>
                <w:sz w:val="20"/>
                <w:szCs w:val="20"/>
              </w:rPr>
              <w:t xml:space="preserve">Recomendación</w:t>
            </w:r>
          </w:p>
        </w:tc>
        <w:tc>
          <w:tcPr>
            <w:tcW w:type="dxa" w:w="1986"/>
            <w:tcMar>
              <w:top w:type="dxa" w:w="80"/>
              <w:left w:type="dxa" w:w="100"/>
              <w:bottom w:type="dxa" w:w="80"/>
              <w:right w:type="dxa" w:w="100"/>
            </w:tcMar>
            <w:vAlign w:val="center"/>
          </w:tcPr>
          <w:p>
            <w:r>
              <w:rPr>
                <w:b w:val="false"/>
                <w:bCs w:val="false"/>
                <w:sz w:val="20"/>
                <w:szCs w:val="20"/>
              </w:rPr>
              <w:t xml:space="preserve">Evitar</w:t>
            </w:r>
          </w:p>
        </w:tc>
        <w:tc>
          <w:tcPr>
            <w:tcW w:type="dxa" w:w="2437"/>
            <w:tcMar>
              <w:top w:type="dxa" w:w="80"/>
              <w:left w:type="dxa" w:w="100"/>
              <w:bottom w:type="dxa" w:w="80"/>
              <w:right w:type="dxa" w:w="100"/>
            </w:tcMar>
            <w:vAlign w:val="center"/>
          </w:tcPr>
          <w:p>
            <w:r>
              <w:rPr>
                <w:b w:val="false"/>
                <w:bCs w:val="false"/>
                <w:sz w:val="20"/>
                <w:szCs w:val="20"/>
              </w:rPr>
              <w:t xml:space="preserve">Aceptable si SFTP no es viable</w:t>
            </w:r>
          </w:p>
        </w:tc>
        <w:tc>
          <w:tcPr>
            <w:tcW w:type="dxa" w:w="2437"/>
            <w:tcMar>
              <w:top w:type="dxa" w:w="80"/>
              <w:left w:type="dxa" w:w="100"/>
              <w:bottom w:type="dxa" w:w="80"/>
              <w:right w:type="dxa" w:w="100"/>
            </w:tcMar>
            <w:vAlign w:val="center"/>
          </w:tcPr>
          <w:p>
            <w:r>
              <w:rPr>
                <w:b w:val="false"/>
                <w:bCs w:val="false"/>
                <w:sz w:val="20"/>
                <w:szCs w:val="20"/>
              </w:rPr>
              <w:t xml:space="preserve">Preferido</w:t>
            </w:r>
          </w:p>
        </w:tc>
      </w:tr>
    </w:tbl>
    <w:p>
      <w:pPr>
        <w:pStyle w:val="Heading3"/>
        <w:spacing w:after="120" w:before="200"/>
      </w:pPr>
      <w:r>
        <w:t xml:space="preserve">Práctica — Capturar una sesión FTP con credenciales en claro</w:t>
      </w:r>
    </w:p>
    <w:p>
      <w:pPr>
        <w:spacing w:after="160"/>
        <w:jc w:val="both"/>
      </w:pPr>
      <w:r>
        <w:t xml:space="preserve">Opción CLI (dentro de analyst):</w:t>
      </w:r>
    </w:p>
    <w:p>
      <w:pPr>
        <w:pBdr>
          <w:left w:val="single" w:color="2E5395" w:sz="6"/>
        </w:pBdr>
        <w:shd w:fill="F5F5F5" w:color="auto" w:val="clear"/>
        <w:spacing w:after="0" w:before="80"/>
        <w:ind w:left="200"/>
      </w:pPr>
      <w:r>
        <w:rPr>
          <w:rFonts w:ascii="Consolas" w:cs="Consolas" w:eastAsia="Consolas" w:hAnsi="Consolas"/>
          <w:sz w:val="20"/>
          <w:szCs w:val="20"/>
        </w:rPr>
        <w:t xml:space="preserve">tshark -i eth0 -w /work/capturas/ftp.pcapng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ftp ftp-server</w:t>
      </w:r>
    </w:p>
    <w:p>
      <w:pPr>
        <w:pBdr>
          <w:left w:val="single" w:color="2E5395" w:sz="6"/>
        </w:pBdr>
        <w:shd w:fill="F5F5F5" w:color="auto" w:val="clear"/>
        <w:spacing w:after="0" w:before="0"/>
        <w:ind w:left="200"/>
      </w:pPr>
      <w:r>
        <w:rPr>
          <w:rFonts w:ascii="Consolas" w:cs="Consolas" w:eastAsia="Consolas" w:hAnsi="Consolas"/>
          <w:sz w:val="20"/>
          <w:szCs w:val="20"/>
        </w:rPr>
        <w:t xml:space="preserve">#   usuario: ftpuser   contraseña: Laboratorio123</w:t>
      </w:r>
    </w:p>
    <w:p>
      <w:pPr>
        <w:pBdr>
          <w:left w:val="single" w:color="2E5395" w:sz="6"/>
        </w:pBdr>
        <w:shd w:fill="F5F5F5" w:color="auto" w:val="clear"/>
        <w:spacing w:after="0" w:before="0"/>
        <w:ind w:left="200"/>
      </w:pPr>
      <w:r>
        <w:rPr>
          <w:rFonts w:ascii="Consolas" w:cs="Consolas" w:eastAsia="Consolas" w:hAnsi="Consolas"/>
          <w:sz w:val="20"/>
          <w:szCs w:val="20"/>
        </w:rPr>
        <w:t xml:space="preserve">ls</w:t>
      </w:r>
    </w:p>
    <w:p>
      <w:pPr>
        <w:pBdr>
          <w:left w:val="single" w:color="2E5395" w:sz="6"/>
        </w:pBdr>
        <w:shd w:fill="F5F5F5" w:color="auto" w:val="clear"/>
        <w:spacing w:after="0" w:before="0"/>
        <w:ind w:left="200"/>
      </w:pPr>
      <w:r>
        <w:rPr>
          <w:rFonts w:ascii="Consolas" w:cs="Consolas" w:eastAsia="Consolas" w:hAnsi="Consolas"/>
          <w:sz w:val="20"/>
          <w:szCs w:val="20"/>
        </w:rPr>
        <w:t xml:space="preserve">bye</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spacing w:after="160"/>
        <w:jc w:val="both"/>
      </w:pPr>
      <w:r>
        <w:t xml:space="preserve">Opción con la aplicación real de FileZilla (desde el equipo del estudiante, sin IP de red — conectar a localhost:2121; ver lab/README.md).</w:t>
      </w:r>
    </w:p>
    <w:p>
      <w:pPr>
        <w:spacing w:after="160"/>
        <w:jc w:val="both"/>
      </w:pPr>
      <w:r>
        <w:t xml:space="preserve">Se filtra ftp, se abre Follow TCP Stream del canal de control y se localizan los comandos USER y PASS en texto legible. Se repite la conexión apuntando a ssh-server en modo SFTP y se compara.</w:t>
      </w:r>
    </w:p>
    <w:p>
      <w:pPr>
        <w:pStyle w:val="Heading3"/>
        <w:spacing w:after="120" w:before="200"/>
      </w:pPr>
      <w:r>
        <w:t xml:space="preserve">El riesgo que el cifrado por sí solo no resuelve</w:t>
      </w:r>
    </w:p>
    <w:p>
      <w:pPr>
        <w:spacing w:after="160"/>
        <w:jc w:val="both"/>
      </w:pPr>
      <w:r>
        <w:t xml:space="preserve">Cifrar el canal (SFTP) no elimina el problema de fondo: cada descarga crea una copia local del archivo fuera del repositorio central, rompiendo el principio de fuente única de verdad y generando riesgos alineados con la gestión de activos de información de ISO/IEC 27001:2022 [10]:</w:t>
      </w:r>
    </w:p>
    <w:p>
      <w:pPr>
        <w:pStyle w:val="ListParagraph"/>
        <w:numPr>
          <w:ilvl w:val="0"/>
          <w:numId w:val="1"/>
        </w:numPr>
        <w:spacing w:after="90"/>
      </w:pPr>
      <w:r>
        <w:t xml:space="preserve">Descontrol de versiones — coexisten copias potencialmente desactualizadas.</w:t>
      </w:r>
    </w:p>
    <w:p>
      <w:pPr>
        <w:pStyle w:val="ListParagraph"/>
        <w:numPr>
          <w:ilvl w:val="0"/>
          <w:numId w:val="1"/>
        </w:numPr>
        <w:spacing w:after="90"/>
      </w:pPr>
      <w:r>
        <w:t xml:space="preserve">Fuga de información — las copias locales no heredan los controles de acceso ni el cifrado en reposo del repositorio central.</w:t>
      </w:r>
    </w:p>
    <w:p>
      <w:pPr>
        <w:pStyle w:val="ListParagraph"/>
        <w:numPr>
          <w:ilvl w:val="0"/>
          <w:numId w:val="1"/>
        </w:numPr>
        <w:spacing w:after="90"/>
      </w:pPr>
      <w:r>
        <w:t xml:space="preserve">Shadow IT de facto y datos residuales en equipos desvinculados sin proceso de borrado.</w:t>
      </w:r>
    </w:p>
    <w:p>
      <w:pPr>
        <w:spacing w:after="160"/>
        <w:jc w:val="both"/>
      </w:pPr>
      <w:r>
        <w:t xml:space="preserve">Mitigación: migrar a plataformas con control de versiones (DMS/ECM) en vez de descargas completas, políticas de descarga controlada con expiración, DLP correlacionando eventos con los puertos 21/22/990 en el SIEM, y capacitación sobre el uso autorizado de clientes de transferencia.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Punto de control</w:t>
            </w:r>
          </w:p>
          <w:p>
            <w:pPr>
              <w:spacing w:after="60"/>
            </w:pPr>
            <w:r>
              <w:t xml:space="preserve">¿Por qué un hallazgo de "FTP sin cifrar" en un informe de auditoría debería documentarse como dos riesgos distintos —confidencialidad en tránsito y gestión de activos de información— y no como uno solo?</w:t>
            </w:r>
          </w:p>
        </w:tc>
      </w:tr>
    </w:tbl>
    <w:p>
      <w:r>
        <w:br w:type="page"/>
      </w:r>
    </w:p>
    <w:p>
      <w:pPr>
        <w:pStyle w:val="Heading1"/>
        <w:spacing w:after="200" w:before="400"/>
      </w:pPr>
      <w:r>
        <w:t xml:space="preserve">7. Laboratorio final — Reconstruir un incidente desde cero</w:t>
      </w:r>
    </w:p>
    <w:p>
      <w:pPr>
        <w:spacing w:after="160"/>
        <w:jc w:val="both"/>
      </w:pPr>
      <w:r>
        <w:t xml:space="preserve">Este bloque cierra el taller aplicando todo lo anterior a un caso realista: el propio estudiante genera el tráfico de un incidente (reconocimiento, fuerza bruta y acceso logrado) dentro del laboratorio, lo captura sin conocer de antemano el resultado exacto, y lo analiza como si se lo hubiera entregado un SOC.</w:t>
      </w:r>
    </w:p>
    <w:p>
      <w:pPr>
        <w:pBdr>
          <w:left w:val="single" w:color="2E5395" w:sz="6"/>
        </w:pBdr>
        <w:shd w:fill="F5F5F5" w:color="auto" w:val="clear"/>
        <w:spacing w:after="0" w:before="80"/>
        <w:ind w:left="200"/>
      </w:pPr>
      <w:r>
        <w:rPr>
          <w:rFonts w:ascii="Consolas" w:cs="Consolas" w:eastAsia="Consolas" w:hAnsi="Consolas"/>
          <w:sz w:val="20"/>
          <w:szCs w:val="20"/>
        </w:rPr>
        <w:t xml:space="preserve"># 1. Iniciar la captura</w:t>
      </w:r>
    </w:p>
    <w:p>
      <w:pPr>
        <w:pBdr>
          <w:left w:val="single" w:color="2E5395" w:sz="6"/>
        </w:pBdr>
        <w:shd w:fill="F5F5F5" w:color="auto" w:val="clear"/>
        <w:spacing w:after="0" w:before="0"/>
        <w:ind w:left="200"/>
      </w:pPr>
      <w:r>
        <w:rPr>
          <w:rFonts w:ascii="Consolas" w:cs="Consolas" w:eastAsia="Consolas" w:hAnsi="Consolas"/>
          <w:sz w:val="20"/>
          <w:szCs w:val="20"/>
        </w:rPr>
        <w:t xml:space="preserve">tshark -i eth0 -w /work/capturas/incidente.pcapng &amp;</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2. Disparar la simulación (reconocimiento + fuerza bruta + acceso logrado)</w:t>
      </w:r>
    </w:p>
    <w:p>
      <w:pPr>
        <w:pBdr>
          <w:left w:val="single" w:color="2E5395" w:sz="6"/>
        </w:pBdr>
        <w:shd w:fill="F5F5F5" w:color="auto" w:val="clear"/>
        <w:spacing w:after="0" w:before="0"/>
        <w:ind w:left="200"/>
      </w:pPr>
      <w:r>
        <w:rPr>
          <w:rFonts w:ascii="Consolas" w:cs="Consolas" w:eastAsia="Consolas" w:hAnsi="Consolas"/>
          <w:sz w:val="20"/>
          <w:szCs w:val="20"/>
        </w:rPr>
        <w:t xml:space="preserve">bash /work/scripts/simular_incidente.sh</w:t>
      </w:r>
    </w:p>
    <w:p>
      <w:pPr>
        <w:pBdr>
          <w:left w:val="single" w:color="2E5395" w:sz="6"/>
        </w:pBdr>
        <w:shd w:fill="F5F5F5" w:color="auto" w:val="clear"/>
        <w:spacing w:after="0" w:before="0"/>
        <w:ind w:left="200"/>
      </w:pPr>
      <w:r>
        <w:rPr>
          <w:rFonts w:ascii="Consolas" w:cs="Consolas" w:eastAsia="Consolas" w:hAnsi="Consolas"/>
          <w:sz w:val="20"/>
          <w:szCs w:val="20"/>
        </w:rPr>
        <w:t xml:space="preserve"> </w:t>
      </w:r>
    </w:p>
    <w:p>
      <w:pPr>
        <w:pBdr>
          <w:left w:val="single" w:color="2E5395" w:sz="6"/>
        </w:pBdr>
        <w:shd w:fill="F5F5F5" w:color="auto" w:val="clear"/>
        <w:spacing w:after="0" w:before="0"/>
        <w:ind w:left="200"/>
      </w:pPr>
      <w:r>
        <w:rPr>
          <w:rFonts w:ascii="Consolas" w:cs="Consolas" w:eastAsia="Consolas" w:hAnsi="Consolas"/>
          <w:sz w:val="20"/>
          <w:szCs w:val="20"/>
        </w:rPr>
        <w:t xml:space="preserve"># 3. Detener la captura</w:t>
      </w:r>
    </w:p>
    <w:p>
      <w:pPr>
        <w:pBdr>
          <w:left w:val="single" w:color="2E5395" w:sz="6"/>
        </w:pBdr>
        <w:shd w:fill="F5F5F5" w:color="auto" w:val="clear"/>
        <w:spacing w:after="160" w:before="0"/>
        <w:ind w:left="200"/>
      </w:pPr>
      <w:r>
        <w:rPr>
          <w:rFonts w:ascii="Consolas" w:cs="Consolas" w:eastAsia="Consolas" w:hAnsi="Consolas"/>
          <w:sz w:val="20"/>
          <w:szCs w:val="20"/>
        </w:rPr>
        <w:t xml:space="preserve">kill %1</w:t>
      </w:r>
    </w:p>
    <w:p>
      <w:pPr>
        <w:pStyle w:val="Heading3"/>
        <w:spacing w:after="120" w:before="200"/>
      </w:pPr>
      <w:r>
        <w:t xml:space="preserve">Guía de análisis</w:t>
      </w:r>
    </w:p>
    <w:p>
      <w:pPr>
        <w:spacing w:after="160"/>
        <w:jc w:val="both"/>
      </w:pPr>
      <w:r>
        <w:t xml:space="preserve">Se trabaja incidente.pcapng en Wireshark y se responde, con evidencia (número de paquete, marca de tiempo, filtro usado):</w:t>
      </w:r>
    </w:p>
    <w:p>
      <w:pPr>
        <w:pStyle w:val="ListParagraph"/>
        <w:numPr>
          <w:ilvl w:val="0"/>
          <w:numId w:val="4"/>
        </w:numPr>
        <w:spacing w:after="90"/>
      </w:pPr>
      <w:r>
        <w:t xml:space="preserve">Reconocimiento: ¿qué filtro permite aislar el escaneo inicial? ¿Qué puertos fueron sondeados?</w:t>
      </w:r>
    </w:p>
    <w:p>
      <w:pPr>
        <w:pStyle w:val="ListParagraph"/>
        <w:numPr>
          <w:ilvl w:val="0"/>
          <w:numId w:val="4"/>
        </w:numPr>
        <w:spacing w:after="90"/>
      </w:pPr>
      <w:r>
        <w:t xml:space="preserve">Acceso inicial: ¿cuántos intentos de autenticación fallidos por Telnet hay antes del exitoso? Extraerlos con Follow TCP Stream.</w:t>
      </w:r>
    </w:p>
    <w:p>
      <w:pPr>
        <w:pStyle w:val="ListParagraph"/>
        <w:numPr>
          <w:ilvl w:val="0"/>
          <w:numId w:val="4"/>
        </w:numPr>
        <w:spacing w:after="90"/>
      </w:pPr>
      <w:r>
        <w:t xml:space="preserve">Línea de tiempo: construir una tabla hora — evento — paquete(s) desde el primer SYN del escaneo hasta el comando whoami ejecutado tras el acceso logrado.</w:t>
      </w:r>
    </w:p>
    <w:p>
      <w:pPr>
        <w:pStyle w:val="ListParagraph"/>
        <w:numPr>
          <w:ilvl w:val="0"/>
          <w:numId w:val="4"/>
        </w:numPr>
        <w:spacing w:after="90"/>
      </w:pPr>
      <w:r>
        <w:t xml:space="preserve">Indicadores de compromiso (IOC): usuario comprometido, servicio afectado, comandos ejecutados tras el acceso.</w:t>
      </w:r>
    </w:p>
    <w:p>
      <w:pPr>
        <w:pStyle w:val="ListParagraph"/>
        <w:numPr>
          <w:ilvl w:val="0"/>
          <w:numId w:val="4"/>
        </w:numPr>
        <w:spacing w:after="90"/>
      </w:pPr>
      <w:r>
        <w:t xml:space="preserve">Mapeo MITRE ATT&amp;CK: T1046 (reconocimiento), intento de fuerza bruta (T1110), acceso con credenciales válidas (T1078).</w:t>
      </w:r>
    </w:p>
    <w:p>
      <w:pPr>
        <w:pStyle w:val="ListParagraph"/>
        <w:numPr>
          <w:ilvl w:val="0"/>
          <w:numId w:val="4"/>
        </w:numPr>
        <w:spacing w:after="90"/>
      </w:pPr>
      <w:r>
        <w:t xml:space="preserve">Informe de incidente: redactar un informe breve (resumen ejecutivo, línea de tiempo, IOC, técnicas MITRE ATT&amp;CK identificadas, recomendaciones de contención) usando la plantilla de bitácora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shd w:fill="FFF2CC" w:color="auto" w:val="clear"/>
            <w:tcMar>
              <w:top w:type="dxa" w:w="140"/>
              <w:left w:type="dxa" w:w="180"/>
              <w:bottom w:type="dxa" w:w="140"/>
              <w:right w:type="dxa" w:w="180"/>
            </w:tcMar>
          </w:tcPr>
          <w:p>
            <w:pPr>
              <w:spacing w:after="80"/>
            </w:pPr>
            <w:r>
              <w:rPr>
                <w:b/>
                <w:bCs/>
              </w:rPr>
              <w:t xml:space="preserve">Nota</w:t>
            </w:r>
          </w:p>
          <w:p>
            <w:pPr>
              <w:spacing w:after="60"/>
            </w:pPr>
            <w:r>
              <w:t xml:space="preserve">Este es exactamente el flujo de trabajo de un analista de nivel 1-2 en un SOC ante una alerta: capturar/recibir evidencia, reconstruir la línea de tiempo, extraer IOC, mapear a un marco de referencia y comunicar el hallazgo.</w:t>
            </w:r>
          </w:p>
        </w:tc>
      </w:tr>
    </w:tbl>
    <w:p>
      <w:r>
        <w:br w:type="page"/>
      </w:r>
    </w:p>
    <w:p>
      <w:pPr>
        <w:pStyle w:val="Heading1"/>
        <w:spacing w:after="200" w:before="400"/>
      </w:pPr>
      <w:r>
        <w:t xml:space="preserve">Checklist de hardening de servicios de red</w:t>
      </w:r>
    </w:p>
    <w:p>
      <w:pPr>
        <w:spacing w:after="160"/>
        <w:jc w:val="both"/>
      </w:pPr>
      <w:r>
        <w:t xml:space="preserve">Resultado práctico aplicable de inmediato en cualquier sistema auditado, construido directamente sobre lo trabajado en este taller:</w:t>
      </w:r>
    </w:p>
    <w:p>
      <w:pPr>
        <w:pStyle w:val="ListParagraph"/>
        <w:numPr>
          <w:ilvl w:val="0"/>
          <w:numId w:val="1"/>
        </w:numPr>
        <w:spacing w:after="90"/>
      </w:pPr>
      <w:r>
        <w:t xml:space="preserve">Inventariar todos los puertos en estado LISTEN/LISTENING y justificar cada uno (parte 1).</w:t>
      </w:r>
    </w:p>
    <w:p>
      <w:pPr>
        <w:pStyle w:val="ListParagraph"/>
        <w:numPr>
          <w:ilvl w:val="0"/>
          <w:numId w:val="1"/>
        </w:numPr>
        <w:spacing w:after="90"/>
      </w:pPr>
      <w:r>
        <w:t xml:space="preserve">Deshabilitar Telnet; permitir únicamente SSHv2 para acceso remoto administrativo.</w:t>
      </w:r>
    </w:p>
    <w:p>
      <w:pPr>
        <w:pStyle w:val="ListParagraph"/>
        <w:numPr>
          <w:ilvl w:val="0"/>
          <w:numId w:val="1"/>
        </w:numPr>
        <w:spacing w:after="90"/>
      </w:pPr>
      <w:r>
        <w:t xml:space="preserve">Deshabilitar FTP sin cifrar; migrar a SFTP o a una plataforma de gestión documental centralizada.</w:t>
      </w:r>
    </w:p>
    <w:p>
      <w:pPr>
        <w:pStyle w:val="ListParagraph"/>
        <w:numPr>
          <w:ilvl w:val="0"/>
          <w:numId w:val="1"/>
        </w:numPr>
        <w:spacing w:after="90"/>
      </w:pPr>
      <w:r>
        <w:t xml:space="preserve">Exigir autenticación por llave y/o MFA en SSH; deshabilitar PermitRootLogin.</w:t>
      </w:r>
    </w:p>
    <w:p>
      <w:pPr>
        <w:pStyle w:val="ListParagraph"/>
        <w:numPr>
          <w:ilvl w:val="0"/>
          <w:numId w:val="1"/>
        </w:numPr>
        <w:spacing w:after="90"/>
      </w:pPr>
      <w:r>
        <w:t xml:space="preserve">Cerrar o filtrar por firewall cualquier puerto de base de datos (3306, 5432…) que no necesite exposición fuera de la red interna.</w:t>
      </w:r>
    </w:p>
    <w:p>
      <w:pPr>
        <w:pStyle w:val="ListParagraph"/>
        <w:numPr>
          <w:ilvl w:val="0"/>
          <w:numId w:val="1"/>
        </w:numPr>
        <w:spacing w:after="90"/>
      </w:pPr>
      <w:r>
        <w:t xml:space="preserve">Configurar alertas de IDS/IPS para patrones de escaneo (múltiples SYN sin ACK hacia un mismo destino).</w:t>
      </w:r>
    </w:p>
    <w:p>
      <w:pPr>
        <w:pStyle w:val="ListParagraph"/>
        <w:numPr>
          <w:ilvl w:val="0"/>
          <w:numId w:val="1"/>
        </w:numPr>
        <w:spacing w:after="90"/>
      </w:pPr>
      <w:r>
        <w:t xml:space="preserve">Registrar y monitorear en el SIEM los intentos de conexión a los puertos 22, 23, 21 y 3389.</w:t>
      </w:r>
    </w:p>
    <w:p>
      <w:pPr>
        <w:pStyle w:val="ListParagraph"/>
        <w:numPr>
          <w:ilvl w:val="0"/>
          <w:numId w:val="1"/>
        </w:numPr>
        <w:spacing w:after="90"/>
      </w:pPr>
      <w:r>
        <w:t xml:space="preserve">Documentar cada hallazgo con su técnica MITRE ATT&amp;CK y su control NIST CSF/800-53 correspondiente.</w:t>
      </w:r>
    </w:p>
    <w:p>
      <w:pPr>
        <w:pStyle w:val="Heading1"/>
        <w:spacing w:after="200" w:before="400"/>
      </w:pPr>
      <w:r>
        <w:t xml:space="preserve">Entregable y evaluación</w:t>
      </w:r>
    </w:p>
    <w:p>
      <w:pPr>
        <w:spacing w:after="160"/>
        <w:jc w:val="both"/>
      </w:pPr>
      <w:r>
        <w:t xml:space="preserve">Entregable: la bitácora de laboratorio completa (plantillas/bitacora-laboratorio.md del repositorio) con evidencia (.pcapng, capturas de pantalla) y respuestas de las partes 1 a 7, incluyendo el informe de incidente de la parte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4964"/>
        <w:gridCol w:w="903"/>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Criterio</w:t>
            </w:r>
          </w:p>
        </w:tc>
        <w:tc>
          <w:tcPr>
            <w:tcW w:type="dxa" w:w="4964"/>
            <w:shd w:fill="2E5395" w:color="auto" w:val="clear"/>
            <w:tcMar>
              <w:top w:type="dxa" w:w="80"/>
              <w:left w:type="dxa" w:w="100"/>
              <w:bottom w:type="dxa" w:w="80"/>
              <w:right w:type="dxa" w:w="100"/>
            </w:tcMar>
            <w:vAlign w:val="center"/>
          </w:tcPr>
          <w:p>
            <w:r>
              <w:rPr>
                <w:b/>
                <w:bCs/>
                <w:color w:val="FFFFFF"/>
                <w:sz w:val="20"/>
                <w:szCs w:val="20"/>
              </w:rPr>
              <w:t xml:space="preserve">Descripción</w:t>
            </w:r>
          </w:p>
        </w:tc>
        <w:tc>
          <w:tcPr>
            <w:tcW w:type="dxa" w:w="903"/>
            <w:shd w:fill="2E5395" w:color="auto" w:val="clear"/>
            <w:tcMar>
              <w:top w:type="dxa" w:w="80"/>
              <w:left w:type="dxa" w:w="100"/>
              <w:bottom w:type="dxa" w:w="80"/>
              <w:right w:type="dxa" w:w="100"/>
            </w:tcMar>
            <w:vAlign w:val="center"/>
          </w:tcPr>
          <w:p>
            <w:r>
              <w:rPr>
                <w:b/>
                <w:bCs/>
                <w:color w:val="FFFFFF"/>
                <w:sz w:val="20"/>
                <w:szCs w:val="20"/>
              </w:rPr>
              <w:t xml:space="preserve">Puntaje</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Evidencia de laboratorio</w:t>
            </w:r>
          </w:p>
        </w:tc>
        <w:tc>
          <w:tcPr>
            <w:tcW w:type="dxa" w:w="4964"/>
            <w:tcMar>
              <w:top w:type="dxa" w:w="80"/>
              <w:left w:type="dxa" w:w="100"/>
              <w:bottom w:type="dxa" w:w="80"/>
              <w:right w:type="dxa" w:w="100"/>
            </w:tcMar>
            <w:vAlign w:val="center"/>
          </w:tcPr>
          <w:p>
            <w:r>
              <w:rPr>
                <w:b w:val="false"/>
                <w:bCs w:val="false"/>
                <w:sz w:val="20"/>
                <w:szCs w:val="20"/>
              </w:rPr>
              <w:t xml:space="preserve">Capturas .pcapng y capturas de pantalla de cada práctica (partes 1-6)</w:t>
            </w:r>
          </w:p>
        </w:tc>
        <w:tc>
          <w:tcPr>
            <w:tcW w:type="dxa" w:w="903"/>
            <w:tcMar>
              <w:top w:type="dxa" w:w="80"/>
              <w:left w:type="dxa" w:w="100"/>
              <w:bottom w:type="dxa" w:w="80"/>
              <w:right w:type="dxa" w:w="100"/>
            </w:tcMar>
            <w:vAlign w:val="center"/>
          </w:tcPr>
          <w:p>
            <w:r>
              <w:rPr>
                <w:b w:val="false"/>
                <w:bCs w:val="false"/>
                <w:sz w:val="20"/>
                <w:szCs w:val="20"/>
              </w:rPr>
              <w:t xml:space="preserve">25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Dominio teórico</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Conceptos de puertos, TCP/UDP y servicios de red</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Análisis de tráfico</w:t>
            </w:r>
          </w:p>
        </w:tc>
        <w:tc>
          <w:tcPr>
            <w:tcW w:type="dxa" w:w="4964"/>
            <w:tcMar>
              <w:top w:type="dxa" w:w="80"/>
              <w:left w:type="dxa" w:w="100"/>
              <w:bottom w:type="dxa" w:w="80"/>
              <w:right w:type="dxa" w:w="100"/>
            </w:tcMar>
            <w:vAlign w:val="center"/>
          </w:tcPr>
          <w:p>
            <w:r>
              <w:rPr>
                <w:b w:val="false"/>
                <w:bCs w:val="false"/>
                <w:sz w:val="20"/>
                <w:szCs w:val="20"/>
              </w:rPr>
              <w:t xml:space="preserve">Uso correcto de filtros y correcta interpretación de las capturas</w:t>
            </w:r>
          </w:p>
        </w:tc>
        <w:tc>
          <w:tcPr>
            <w:tcW w:type="dxa" w:w="903"/>
            <w:tcMar>
              <w:top w:type="dxa" w:w="80"/>
              <w:left w:type="dxa" w:w="100"/>
              <w:bottom w:type="dxa" w:w="80"/>
              <w:right w:type="dxa" w:w="100"/>
            </w:tcMar>
            <w:vAlign w:val="center"/>
          </w:tcPr>
          <w:p>
            <w:r>
              <w:rPr>
                <w:b w:val="false"/>
                <w:bCs w:val="false"/>
                <w:sz w:val="20"/>
                <w:szCs w:val="20"/>
              </w:rPr>
              <w:t xml:space="preserve">15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Caso Telnet vs SSH</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Comparación técnica y mapeo a MITRE ATT&amp;CK/NIST</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Caso FileZilla / gestión de la información</w:t>
            </w:r>
          </w:p>
        </w:tc>
        <w:tc>
          <w:tcPr>
            <w:tcW w:type="dxa" w:w="4964"/>
            <w:tcMar>
              <w:top w:type="dxa" w:w="80"/>
              <w:left w:type="dxa" w:w="100"/>
              <w:bottom w:type="dxa" w:w="80"/>
              <w:right w:type="dxa" w:w="100"/>
            </w:tcMar>
            <w:vAlign w:val="center"/>
          </w:tcPr>
          <w:p>
            <w:r>
              <w:rPr>
                <w:b w:val="false"/>
                <w:bCs w:val="false"/>
                <w:sz w:val="20"/>
                <w:szCs w:val="20"/>
              </w:rPr>
              <w:t xml:space="preserve">Diagnóstico y mitigaciones propuestas</w:t>
            </w:r>
          </w:p>
        </w:tc>
        <w:tc>
          <w:tcPr>
            <w:tcW w:type="dxa" w:w="903"/>
            <w:tcMar>
              <w:top w:type="dxa" w:w="80"/>
              <w:left w:type="dxa" w:w="100"/>
              <w:bottom w:type="dxa" w:w="80"/>
              <w:right w:type="dxa" w:w="100"/>
            </w:tcMar>
            <w:vAlign w:val="center"/>
          </w:tcPr>
          <w:p>
            <w:r>
              <w:rPr>
                <w:b w:val="false"/>
                <w:bCs w:val="false"/>
                <w:sz w:val="20"/>
                <w:szCs w:val="20"/>
              </w:rPr>
              <w:t xml:space="preserve">10</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Laboratorio final de incidente</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Línea de tiempo, IOC, mapeo MITRE ATT&amp;CK e informe (parte 7)</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20</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Ética y buenas prácticas</w:t>
            </w:r>
          </w:p>
        </w:tc>
        <w:tc>
          <w:tcPr>
            <w:tcW w:type="dxa" w:w="4964"/>
            <w:tcMar>
              <w:top w:type="dxa" w:w="80"/>
              <w:left w:type="dxa" w:w="100"/>
              <w:bottom w:type="dxa" w:w="80"/>
              <w:right w:type="dxa" w:w="100"/>
            </w:tcMar>
            <w:vAlign w:val="center"/>
          </w:tcPr>
          <w:p>
            <w:r>
              <w:rPr>
                <w:b w:val="false"/>
                <w:bCs w:val="false"/>
                <w:sz w:val="20"/>
                <w:szCs w:val="20"/>
              </w:rPr>
              <w:t xml:space="preserve">Cumplimiento del marco ético/legal durante todo el taller</w:t>
            </w:r>
          </w:p>
        </w:tc>
        <w:tc>
          <w:tcPr>
            <w:tcW w:type="dxa" w:w="903"/>
            <w:tcMar>
              <w:top w:type="dxa" w:w="80"/>
              <w:left w:type="dxa" w:w="100"/>
              <w:bottom w:type="dxa" w:w="80"/>
              <w:right w:type="dxa" w:w="100"/>
            </w:tcMar>
            <w:vAlign w:val="center"/>
          </w:tcPr>
          <w:p>
            <w:r>
              <w:rPr>
                <w:b w:val="false"/>
                <w:bCs w:val="false"/>
                <w:sz w:val="20"/>
                <w:szCs w:val="20"/>
              </w:rPr>
              <w:t xml:space="preserve">5</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Total</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100</w:t>
            </w:r>
          </w:p>
        </w:tc>
      </w:tr>
    </w:tbl>
    <w:p>
      <w:r>
        <w:br w:type="page"/>
      </w:r>
    </w:p>
    <w:p>
      <w:pPr>
        <w:pStyle w:val="Heading1"/>
        <w:spacing w:after="200" w:before="400"/>
      </w:pPr>
      <w:r>
        <w:t xml:space="preserve">Anexos</w:t>
      </w:r>
    </w:p>
    <w:p>
      <w:pPr>
        <w:pStyle w:val="Heading2"/>
        <w:spacing w:after="160" w:before="300"/>
      </w:pPr>
      <w:r>
        <w:t xml:space="preserve">Anexo A —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Término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Definición</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Socket</w:t>
            </w:r>
          </w:p>
        </w:tc>
        <w:tc>
          <w:tcPr>
            <w:tcW w:type="dxa" w:w="6318"/>
            <w:tcMar>
              <w:top w:type="dxa" w:w="80"/>
              <w:left w:type="dxa" w:w="100"/>
              <w:bottom w:type="dxa" w:w="80"/>
              <w:right w:type="dxa" w:w="100"/>
            </w:tcMar>
            <w:vAlign w:val="center"/>
          </w:tcPr>
          <w:p>
            <w:r>
              <w:rPr>
                <w:b w:val="false"/>
                <w:bCs w:val="false"/>
                <w:sz w:val="20"/>
                <w:szCs w:val="20"/>
              </w:rPr>
              <w:t xml:space="preserve">IP + protocolo de transporte + puerto: identificador único de un extremo de comunicación.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BPF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Sintaxis de los filtros de captura de Wireshark/tcpdump.</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IOC</w:t>
            </w:r>
          </w:p>
        </w:tc>
        <w:tc>
          <w:tcPr>
            <w:tcW w:type="dxa" w:w="6318"/>
            <w:tcMar>
              <w:top w:type="dxa" w:w="80"/>
              <w:left w:type="dxa" w:w="100"/>
              <w:bottom w:type="dxa" w:w="80"/>
              <w:right w:type="dxa" w:w="100"/>
            </w:tcMar>
            <w:vAlign w:val="center"/>
          </w:tcPr>
          <w:p>
            <w:r>
              <w:rPr>
                <w:b w:val="false"/>
                <w:bCs w:val="false"/>
                <w:sz w:val="20"/>
                <w:szCs w:val="20"/>
              </w:rPr>
              <w:t xml:space="preserve">Indicator of Compromise: dato observable que evidencia una posible intrusión.</w:t>
            </w:r>
          </w:p>
        </w:tc>
      </w:tr>
      <w:tr>
        <w:trPr>
          <w:cantSplit/>
        </w:trP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SGSI</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Sistema de Gestión de Seguridad de la Información (familia ISO/IEC 27000).</w:t>
            </w:r>
          </w:p>
        </w:tc>
      </w:tr>
      <w:tr>
        <w:trPr>
          <w:cantSplit/>
        </w:trPr>
        <w:tc>
          <w:tcPr>
            <w:tcW w:type="dxa" w:w="2708"/>
            <w:tcMar>
              <w:top w:type="dxa" w:w="80"/>
              <w:left w:type="dxa" w:w="100"/>
              <w:bottom w:type="dxa" w:w="80"/>
              <w:right w:type="dxa" w:w="100"/>
            </w:tcMar>
            <w:vAlign w:val="center"/>
          </w:tcPr>
          <w:p>
            <w:r>
              <w:rPr>
                <w:b w:val="false"/>
                <w:bCs w:val="false"/>
                <w:sz w:val="20"/>
                <w:szCs w:val="20"/>
              </w:rPr>
              <w:t xml:space="preserve">DLP</w:t>
            </w:r>
          </w:p>
        </w:tc>
        <w:tc>
          <w:tcPr>
            <w:tcW w:type="dxa" w:w="6318"/>
            <w:tcMar>
              <w:top w:type="dxa" w:w="80"/>
              <w:left w:type="dxa" w:w="100"/>
              <w:bottom w:type="dxa" w:w="80"/>
              <w:right w:type="dxa" w:w="100"/>
            </w:tcMar>
            <w:vAlign w:val="center"/>
          </w:tcPr>
          <w:p>
            <w:r>
              <w:rPr>
                <w:b w:val="false"/>
                <w:bCs w:val="false"/>
                <w:sz w:val="20"/>
                <w:szCs w:val="20"/>
              </w:rPr>
              <w:t xml:space="preserve">Data Loss Prevention: controles para prevenir la fuga de información.</w:t>
            </w:r>
          </w:p>
        </w:tc>
      </w:tr>
    </w:tbl>
    <w:p>
      <w:pPr>
        <w:pStyle w:val="Heading2"/>
        <w:spacing w:after="160" w:before="300"/>
      </w:pPr>
      <w:r>
        <w:t xml:space="preserve">Anexo B — Cheatsheet de filtros de Wireshark</w:t>
      </w:r>
    </w:p>
    <w:p>
      <w:pPr>
        <w:pBdr>
          <w:left w:val="single" w:color="2E5395" w:sz="6"/>
        </w:pBdr>
        <w:shd w:fill="F5F5F5" w:color="auto" w:val="clear"/>
        <w:spacing w:after="0" w:before="80"/>
        <w:ind w:left="200"/>
      </w:pPr>
      <w:r>
        <w:rPr>
          <w:rFonts w:ascii="Consolas" w:cs="Consolas" w:eastAsia="Consolas" w:hAnsi="Consolas"/>
          <w:sz w:val="20"/>
          <w:szCs w:val="20"/>
        </w:rPr>
        <w:t xml:space="preserve">ip.addr == x.x.x.x                         Trafico de/hacia un host</w:t>
      </w:r>
    </w:p>
    <w:p>
      <w:pPr>
        <w:pBdr>
          <w:left w:val="single" w:color="2E5395" w:sz="6"/>
        </w:pBdr>
        <w:shd w:fill="F5F5F5" w:color="auto" w:val="clear"/>
        <w:spacing w:after="0" w:before="0"/>
        <w:ind w:left="200"/>
      </w:pPr>
      <w:r>
        <w:rPr>
          <w:rFonts w:ascii="Consolas" w:cs="Consolas" w:eastAsia="Consolas" w:hAnsi="Consolas"/>
          <w:sz w:val="20"/>
          <w:szCs w:val="20"/>
        </w:rPr>
        <w:t xml:space="preserve">tcp.port == 443                            Trafico en un puerto especifico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tcp.flags.syn==1 and tcp.flags.ack==0       Solo SYN (inicio de conexion / escaneo)</w:t>
      </w:r>
    </w:p>
    <w:p>
      <w:pPr>
        <w:pBdr>
          <w:left w:val="single" w:color="2E5395" w:sz="6"/>
        </w:pBdr>
        <w:shd w:fill="F5F5F5" w:color="auto" w:val="clear"/>
        <w:spacing w:after="0" w:before="0"/>
        <w:ind w:left="200"/>
      </w:pPr>
      <w:r>
        <w:rPr>
          <w:rFonts w:ascii="Consolas" w:cs="Consolas" w:eastAsia="Consolas" w:hAnsi="Consolas"/>
          <w:sz w:val="20"/>
          <w:szCs w:val="20"/>
        </w:rPr>
        <w:t xml:space="preserve">tcp.flags.reset==1                          Conexiones rechazadas/cerradas</w:t>
      </w:r>
    </w:p>
    <w:p>
      <w:pPr>
        <w:pBdr>
          <w:left w:val="single" w:color="2E5395" w:sz="6"/>
        </w:pBdr>
        <w:shd w:fill="F5F5F5" w:color="auto" w:val="clear"/>
        <w:spacing w:after="0" w:before="0"/>
        <w:ind w:left="200"/>
      </w:pPr>
      <w:r>
        <w:rPr>
          <w:rFonts w:ascii="Consolas" w:cs="Consolas" w:eastAsia="Consolas" w:hAnsi="Consolas"/>
          <w:sz w:val="20"/>
          <w:szCs w:val="20"/>
        </w:rPr>
        <w:t xml:space="preserve">http / dns / arp / telnet / ftp             Aislar un protocolo</w:t>
      </w:r>
    </w:p>
    <w:p>
      <w:pPr>
        <w:pBdr>
          <w:left w:val="single" w:color="2E5395" w:sz="6"/>
        </w:pBdr>
        <w:shd w:fill="F5F5F5" w:color="auto" w:val="clear"/>
        <w:spacing w:after="0" w:before="0"/>
        <w:ind w:left="200"/>
      </w:pPr>
      <w:r>
        <w:rPr>
          <w:rFonts w:ascii="Consolas" w:cs="Consolas" w:eastAsia="Consolas" w:hAnsi="Consolas"/>
          <w:sz w:val="20"/>
          <w:szCs w:val="20"/>
        </w:rPr>
        <w:t xml:space="preserve">tcp.analysis.retransmission                 Retransmisiones</w:t>
      </w:r>
    </w:p>
    <w:p>
      <w:pPr>
        <w:pBdr>
          <w:left w:val="single" w:color="2E5395" w:sz="6"/>
        </w:pBdr>
        <w:shd w:fill="F5F5F5" w:color="auto" w:val="clear"/>
        <w:spacing w:after="0" w:before="0"/>
        <w:ind w:left="200"/>
      </w:pPr>
      <w:r>
        <w:rPr>
          <w:rFonts w:ascii="Consolas" w:cs="Consolas" w:eastAsia="Consolas" w:hAnsi="Consolas"/>
          <w:sz w:val="20"/>
          <w:szCs w:val="20"/>
        </w:rPr>
        <w:t xml:space="preserve">frame contains "texto"                      Buscar texto en cualquier capa</w:t>
      </w:r>
    </w:p>
    <w:p>
      <w:pPr>
        <w:pBdr>
          <w:left w:val="single" w:color="2E5395" w:sz="6"/>
        </w:pBdr>
        <w:shd w:fill="F5F5F5" w:color="auto" w:val="clear"/>
        <w:spacing w:after="160" w:before="0"/>
        <w:ind w:left="200"/>
      </w:pPr>
      <w:r>
        <w:rPr>
          <w:rFonts w:ascii="Consolas" w:cs="Consolas" w:eastAsia="Consolas" w:hAnsi="Consolas"/>
          <w:sz w:val="20"/>
          <w:szCs w:val="20"/>
        </w:rPr>
        <w:t xml:space="preserve">!(arp or dns)                               Excluir un tipo de trafico</w:t>
      </w:r>
    </w:p>
    <w:p>
      <w:pPr>
        <w:pStyle w:val="Heading2"/>
        <w:spacing w:after="160" w:before="300"/>
      </w:pPr>
      <w:r>
        <w:t xml:space="preserve">Anexo C — Resumen de mapeo a marcos de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2708"/>
        <w:gridCol w:w="3159"/>
      </w:tblGrid>
      <w:tr>
        <w:trPr>
          <w:cantSplit/>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Práctica del taller</w:t>
            </w:r>
          </w:p>
        </w:tc>
        <w:tc>
          <w:tcPr>
            <w:tcW w:type="dxa" w:w="2708"/>
            <w:shd w:fill="2E5395" w:color="auto" w:val="clear"/>
            <w:tcMar>
              <w:top w:type="dxa" w:w="80"/>
              <w:left w:type="dxa" w:w="100"/>
              <w:bottom w:type="dxa" w:w="80"/>
              <w:right w:type="dxa" w:w="100"/>
            </w:tcMar>
            <w:vAlign w:val="center"/>
          </w:tcPr>
          <w:p>
            <w:r>
              <w:rPr>
                <w:b/>
                <w:bCs/>
                <w:color w:val="FFFFFF"/>
                <w:sz w:val="20"/>
                <w:szCs w:val="20"/>
              </w:rPr>
              <w:t xml:space="preserve">MITRE ATT&amp;CK</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NIST</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Captura Telnet (parte 4)</w:t>
            </w:r>
          </w:p>
        </w:tc>
        <w:tc>
          <w:tcPr>
            <w:tcW w:type="dxa" w:w="2708"/>
            <w:tcMar>
              <w:top w:type="dxa" w:w="80"/>
              <w:left w:type="dxa" w:w="100"/>
              <w:bottom w:type="dxa" w:w="80"/>
              <w:right w:type="dxa" w:w="100"/>
            </w:tcMar>
            <w:vAlign w:val="center"/>
          </w:tcPr>
          <w:p>
            <w:r>
              <w:rPr>
                <w:b w:val="false"/>
                <w:bCs w:val="false"/>
                <w:sz w:val="20"/>
                <w:szCs w:val="20"/>
              </w:rPr>
              <w:t xml:space="preserve">T1040, T1552</w:t>
            </w:r>
          </w:p>
        </w:tc>
        <w:tc>
          <w:tcPr>
            <w:tcW w:type="dxa" w:w="3159"/>
            <w:tcMar>
              <w:top w:type="dxa" w:w="80"/>
              <w:left w:type="dxa" w:w="100"/>
              <w:bottom w:type="dxa" w:w="80"/>
              <w:right w:type="dxa" w:w="100"/>
            </w:tcMar>
            <w:vAlign w:val="center"/>
          </w:tcPr>
          <w:p>
            <w:r>
              <w:rPr>
                <w:b w:val="false"/>
                <w:bCs w:val="false"/>
                <w:sz w:val="20"/>
                <w:szCs w:val="20"/>
              </w:rPr>
              <w:t xml:space="preserve">SP 800-53 AC-17, CSF PR.DS-2</w:t>
            </w:r>
          </w:p>
        </w:tc>
      </w:tr>
      <w:tr>
        <w:trPr>
          <w:cantSplit/>
        </w:trP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Escaneo de puertos (parte 5)</w:t>
            </w:r>
          </w:p>
        </w:tc>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T1046</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CSF DE.CM-1</w:t>
            </w:r>
          </w:p>
        </w:tc>
      </w:tr>
      <w:tr>
        <w:trPr>
          <w:cantSplit/>
        </w:trPr>
        <w:tc>
          <w:tcPr>
            <w:tcW w:type="dxa" w:w="3159"/>
            <w:tcMar>
              <w:top w:type="dxa" w:w="80"/>
              <w:left w:type="dxa" w:w="100"/>
              <w:bottom w:type="dxa" w:w="80"/>
              <w:right w:type="dxa" w:w="100"/>
            </w:tcMar>
            <w:vAlign w:val="center"/>
          </w:tcPr>
          <w:p>
            <w:r>
              <w:rPr>
                <w:b w:val="false"/>
                <w:bCs w:val="false"/>
                <w:sz w:val="20"/>
                <w:szCs w:val="20"/>
              </w:rPr>
              <w:t xml:space="preserve">Laboratorio de incidente (parte 7)</w:t>
            </w:r>
          </w:p>
        </w:tc>
        <w:tc>
          <w:tcPr>
            <w:tcW w:type="dxa" w:w="2708"/>
            <w:tcMar>
              <w:top w:type="dxa" w:w="80"/>
              <w:left w:type="dxa" w:w="100"/>
              <w:bottom w:type="dxa" w:w="80"/>
              <w:right w:type="dxa" w:w="100"/>
            </w:tcMar>
            <w:vAlign w:val="center"/>
          </w:tcPr>
          <w:p>
            <w:r>
              <w:rPr>
                <w:b w:val="false"/>
                <w:bCs w:val="false"/>
                <w:sz w:val="20"/>
                <w:szCs w:val="20"/>
              </w:rPr>
              <w:t xml:space="preserve">T1046, T1110, T1078</w:t>
            </w:r>
          </w:p>
        </w:tc>
        <w:tc>
          <w:tcPr>
            <w:tcW w:type="dxa" w:w="3159"/>
            <w:tcMar>
              <w:top w:type="dxa" w:w="80"/>
              <w:left w:type="dxa" w:w="100"/>
              <w:bottom w:type="dxa" w:w="80"/>
              <w:right w:type="dxa" w:w="100"/>
            </w:tcMar>
            <w:vAlign w:val="center"/>
          </w:tcPr>
          <w:p>
            <w:r>
              <w:rPr>
                <w:b w:val="false"/>
                <w:bCs w:val="false"/>
                <w:sz w:val="20"/>
                <w:szCs w:val="20"/>
              </w:rPr>
              <w:t xml:space="preserve">CSF DE.AE (análisis de eventos)</w:t>
            </w:r>
          </w:p>
        </w:tc>
      </w:tr>
    </w:tbl>
    <w:p>
      <w:pPr>
        <w:pStyle w:val="Heading2"/>
        <w:spacing w:after="160" w:before="300"/>
      </w:pPr>
      <w:r>
        <w:t xml:space="preserve">Anexo D — Marco legal de referencia</w:t>
      </w:r>
    </w:p>
    <w:p>
      <w:pPr>
        <w:spacing w:after="160"/>
        <w:jc w:val="both"/>
      </w:pPr>
      <w:r>
        <w:t xml:space="preserve">En Colombia, la Ley 1273 de 2009 tipifica el acceso abusivo a sistemas informáticos, la interceptación de datos y la violación de datos personales [12]. Se debe verificar el marco equivalente de la jurisdicción correspondiente antes de replicar cualquiera de estas prácticas fuera del laboratorio aislado que acompaña este documento.</w:t>
      </w:r>
    </w:p>
    <w:p>
      <w:r>
        <w:br w:type="page"/>
      </w:r>
    </w:p>
    <w:p>
      <w:pPr>
        <w:pStyle w:val="Heading1"/>
        <w:spacing w:after="200" w:before="400"/>
      </w:pPr>
      <w:r>
        <w:t xml:space="preserve">Referencias</w:t>
      </w:r>
    </w:p>
    <w:p>
      <w:pPr>
        <w:spacing w:after="160"/>
        <w:jc w:val="both"/>
      </w:pPr>
      <w:r>
        <w:t xml:space="preserve">Las siguientes fuentes se citan en el cuerpo del documento siguiendo el estilo IEEE.</w:t>
      </w:r>
    </w:p>
    <w:p>
      <w:pPr>
        <w:spacing w:after="140"/>
        <w:ind w:left="360" w:hanging="360"/>
        <w:jc w:val="both"/>
      </w:pPr>
      <w:r>
        <w:t xml:space="preserve">[1] Internet Assigned Numbers Authority (IANA), "Service Name and Transport Protocol Port Number Registry," IANA, 2024. [Online]. Disponible: https://www.iana.org/assignments/service-names-port-numbers/service-names-port-numbers.xhtml</w:t>
      </w:r>
    </w:p>
    <w:p>
      <w:pPr>
        <w:spacing w:after="140"/>
        <w:ind w:left="360" w:hanging="360"/>
        <w:jc w:val="both"/>
      </w:pPr>
      <w:r>
        <w:t xml:space="preserve">[2] W. Eddy, Ed., "Transmission Control Protocol (TCP)," RFC 9293, Internet Engineering Task Force (IETF), ago. 2022.</w:t>
      </w:r>
    </w:p>
    <w:p>
      <w:pPr>
        <w:spacing w:after="140"/>
        <w:ind w:left="360" w:hanging="360"/>
        <w:jc w:val="both"/>
      </w:pPr>
      <w:r>
        <w:t xml:space="preserve">[3] J. Postel, "User Datagram Protocol," RFC 768, IETF, ago. 1980.</w:t>
      </w:r>
    </w:p>
    <w:p>
      <w:pPr>
        <w:spacing w:after="140"/>
        <w:ind w:left="360" w:hanging="360"/>
        <w:jc w:val="both"/>
      </w:pPr>
      <w:r>
        <w:t xml:space="preserve">[4] J. Postel y J. Reynolds, "Telnet Protocol Specification," RFC 854, IETF, may. 1983.</w:t>
      </w:r>
    </w:p>
    <w:p>
      <w:pPr>
        <w:spacing w:after="140"/>
        <w:ind w:left="360" w:hanging="360"/>
        <w:jc w:val="both"/>
      </w:pPr>
      <w:r>
        <w:t xml:space="preserve">[5] T. Ylonen y C. Lonvick, "The Secure Shell (SSH) Protocol Architecture," RFC 4251, IETF, ene. 2006.</w:t>
      </w:r>
    </w:p>
    <w:p>
      <w:pPr>
        <w:spacing w:after="140"/>
        <w:ind w:left="360" w:hanging="360"/>
        <w:jc w:val="both"/>
      </w:pPr>
      <w:r>
        <w:t xml:space="preserve">[6] J. Postel, "File Transfer Protocol (FTP)," RFC 959, IETF, oct. 1985.</w:t>
      </w:r>
    </w:p>
    <w:p>
      <w:pPr>
        <w:spacing w:after="140"/>
        <w:ind w:left="360" w:hanging="360"/>
        <w:jc w:val="both"/>
      </w:pPr>
      <w:r>
        <w:t xml:space="preserve">[7] Wireshark Foundation, "Wireshark User's Guide," Wireshark, 2024. [Online]. Disponible: https://www.wireshark.org/docs/wsug_html_chunked/</w:t>
      </w:r>
    </w:p>
    <w:p>
      <w:pPr>
        <w:spacing w:after="140"/>
        <w:ind w:left="360" w:hanging="360"/>
        <w:jc w:val="both"/>
      </w:pPr>
      <w:r>
        <w:t xml:space="preserve">[8] G. Lyon, Nmap Network Scanning: The Official Nmap Project Guide to Network Discovery and Security Scanning. Sunnyvale, CA, EE. UU.: Insecure.Com LLC, 2009.</w:t>
      </w:r>
    </w:p>
    <w:p>
      <w:pPr>
        <w:spacing w:after="140"/>
        <w:ind w:left="360" w:hanging="360"/>
        <w:jc w:val="both"/>
      </w:pPr>
      <w:r>
        <w:t xml:space="preserve">[9] National Institute of Standards and Technology (NIST), "Security and Privacy Controls for Information Systems and Organizations," NIST Special Publication 800-53, Rev. 5, Gaithersburg, MD, EE. UU., sep. 2020.</w:t>
      </w:r>
    </w:p>
    <w:p>
      <w:pPr>
        <w:spacing w:after="140"/>
        <w:ind w:left="360" w:hanging="360"/>
        <w:jc w:val="both"/>
      </w:pPr>
      <w:r>
        <w:t xml:space="preserve">[10] International Organization for Standardization, ISO/IEC 27001:2022 — Information Security, Cybersecurity and Privacy Protection — Information Security Management Systems — Requirements. Ginebra, Suiza: ISO, 2022.</w:t>
      </w:r>
    </w:p>
    <w:p>
      <w:pPr>
        <w:spacing w:after="140"/>
        <w:ind w:left="360" w:hanging="360"/>
        <w:jc w:val="both"/>
      </w:pPr>
      <w:r>
        <w:t xml:space="preserve">[11] IEEE, "IEEE Standard for Ethernet," IEEE Std 802.3-2022, 2022.</w:t>
      </w:r>
    </w:p>
    <w:p>
      <w:pPr>
        <w:spacing w:after="140"/>
        <w:ind w:left="360" w:hanging="360"/>
        <w:jc w:val="both"/>
      </w:pPr>
      <w:r>
        <w:t xml:space="preserve">[12] Congreso de la República de Colombia, "Ley 1273 de 2009, por medio de la cual se modifica el Código Penal, se crea un nuevo bien jurídico tutelado denominado 'de la protección de la información y de los datos' y se preservan integralmente los sistemas que utilicen las tecnologías de la información y las comunicaciones," Diario Oficial, Bogotá, Colombia, ene. 2009.</w:t>
      </w:r>
    </w:p>
    <w:p>
      <w:pPr>
        <w:spacing w:after="140"/>
        <w:ind w:left="360" w:hanging="360"/>
        <w:jc w:val="both"/>
      </w:pPr>
      <w:r>
        <w:t xml:space="preserve">[13] MITRE Corporation, "MITRE ATT&amp;CK®," 2024. [Online]. Disponible: https://attack.mitre.org/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Taller — Puertos, Servicios y Wireshark | Especialización en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2E5395"/>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2026-08-27T23:22:05.828Z</dcterms:created>
  <dcterms:modified xsi:type="dcterms:W3CDTF">2026-08-27T23:22:05.829Z</dcterms:modified>
</cp:coreProperties>
</file>

<file path=docProps/custom.xml><?xml version="1.0" encoding="utf-8"?>
<Properties xmlns="http://schemas.openxmlformats.org/officeDocument/2006/custom-properties" xmlns:vt="http://schemas.openxmlformats.org/officeDocument/2006/docPropsVTypes"/>
</file>