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A793E" w14:textId="77777777" w:rsidR="00A766D6" w:rsidRPr="00B5627E" w:rsidRDefault="00A766D6" w:rsidP="00A766D6">
      <w:pPr>
        <w:rPr>
          <w:b/>
          <w:bCs/>
        </w:rPr>
      </w:pPr>
      <w:r w:rsidRPr="00B5627E">
        <w:rPr>
          <w:b/>
          <w:bCs/>
        </w:rPr>
        <w:t>LEMUEL OKECHUKWU</w:t>
      </w:r>
    </w:p>
    <w:p w14:paraId="0EF9E91D" w14:textId="77777777" w:rsidR="00A766D6" w:rsidRPr="00B5627E" w:rsidRDefault="00A766D6" w:rsidP="00A766D6">
      <w:pPr>
        <w:rPr>
          <w:b/>
          <w:bCs/>
        </w:rPr>
      </w:pPr>
      <w:r w:rsidRPr="00B5627E">
        <w:rPr>
          <w:b/>
          <w:bCs/>
        </w:rPr>
        <w:t>VEPH/20B/CY082</w:t>
      </w:r>
    </w:p>
    <w:p w14:paraId="2470A9BF" w14:textId="709F5C72" w:rsidR="00A766D6" w:rsidRDefault="00A766D6" w:rsidP="00A766D6">
      <w:pPr>
        <w:rPr>
          <w:b/>
          <w:bCs/>
        </w:rPr>
      </w:pPr>
      <w:r w:rsidRPr="00B5627E">
        <w:rPr>
          <w:b/>
          <w:bCs/>
        </w:rPr>
        <w:t>TASK 3</w:t>
      </w:r>
      <w:r>
        <w:rPr>
          <w:b/>
          <w:bCs/>
        </w:rPr>
        <w:t>7</w:t>
      </w:r>
      <w:r>
        <w:rPr>
          <w:b/>
          <w:bCs/>
        </w:rPr>
        <w:t>B</w:t>
      </w:r>
    </w:p>
    <w:p w14:paraId="7C55B135" w14:textId="627E1702" w:rsidR="00A766D6" w:rsidRPr="005C0F85" w:rsidRDefault="005C0F85" w:rsidP="005C0F85">
      <w:pPr>
        <w:jc w:val="center"/>
        <w:rPr>
          <w:b/>
          <w:bCs/>
          <w:sz w:val="40"/>
          <w:szCs w:val="40"/>
        </w:rPr>
      </w:pPr>
      <w:r w:rsidRPr="005C0F85">
        <w:rPr>
          <w:b/>
          <w:bCs/>
          <w:sz w:val="40"/>
          <w:szCs w:val="40"/>
        </w:rPr>
        <w:t>REVIEW OF ‘’THE GREAT HACK’’ AND HOW IT RELATES TO OUR ERA</w:t>
      </w:r>
    </w:p>
    <w:p w14:paraId="4434591C" w14:textId="77777777" w:rsidR="00A766D6" w:rsidRPr="00A766D6" w:rsidRDefault="00A766D6" w:rsidP="00A766D6"/>
    <w:p w14:paraId="12CF9683" w14:textId="2A913A32" w:rsidR="00A766D6" w:rsidRPr="00A766D6" w:rsidRDefault="00A766D6" w:rsidP="00A766D6">
      <w:r w:rsidRPr="00A766D6">
        <w:rPr>
          <w:b/>
          <w:bCs/>
        </w:rPr>
        <w:t>TASK 37</w:t>
      </w:r>
      <w:proofErr w:type="gramStart"/>
      <w:r w:rsidRPr="00A766D6">
        <w:rPr>
          <w:b/>
          <w:bCs/>
        </w:rPr>
        <w:t>B :</w:t>
      </w:r>
      <w:proofErr w:type="gramEnd"/>
      <w:r w:rsidRPr="00A766D6">
        <w:rPr>
          <w:b/>
          <w:bCs/>
        </w:rPr>
        <w:t> </w:t>
      </w:r>
    </w:p>
    <w:p w14:paraId="260C1A6A" w14:textId="77777777" w:rsidR="00A766D6" w:rsidRDefault="00A766D6" w:rsidP="00330137">
      <w:pPr>
        <w:numPr>
          <w:ilvl w:val="0"/>
          <w:numId w:val="1"/>
        </w:numPr>
      </w:pPr>
      <w:r w:rsidRPr="00A766D6">
        <w:t xml:space="preserve">Identify and explain the cybersecurity-related procedures, techniques, or incidents depicted in the documentary </w:t>
      </w:r>
      <w:r w:rsidRPr="00A766D6">
        <w:rPr>
          <w:i/>
          <w:iCs/>
        </w:rPr>
        <w:t>The Great Hack</w:t>
      </w:r>
      <w:r w:rsidRPr="00A766D6">
        <w:t>, highlighting their relevance to data privacy, information security, and digital forensics</w:t>
      </w:r>
    </w:p>
    <w:p w14:paraId="59B67FD4" w14:textId="77777777" w:rsidR="00217C09" w:rsidRDefault="00217C09" w:rsidP="00217C09">
      <w:pPr>
        <w:ind w:left="360"/>
      </w:pPr>
    </w:p>
    <w:p w14:paraId="07DDD4FC" w14:textId="70BD5BE7" w:rsidR="00217C09" w:rsidRDefault="00217C09" w:rsidP="00217C09">
      <w:pPr>
        <w:ind w:left="360"/>
      </w:pPr>
      <w:r w:rsidRPr="00217C09">
        <w:drawing>
          <wp:inline distT="0" distB="0" distL="0" distR="0" wp14:anchorId="4D9B2C18" wp14:editId="2E9B8EB9">
            <wp:extent cx="2381250" cy="3524250"/>
            <wp:effectExtent l="0" t="0" r="0" b="0"/>
            <wp:docPr id="1443173002"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524250"/>
                    </a:xfrm>
                    <a:prstGeom prst="rect">
                      <a:avLst/>
                    </a:prstGeom>
                    <a:noFill/>
                    <a:ln>
                      <a:noFill/>
                    </a:ln>
                  </pic:spPr>
                </pic:pic>
              </a:graphicData>
            </a:graphic>
          </wp:inline>
        </w:drawing>
      </w:r>
    </w:p>
    <w:p w14:paraId="77B9822D" w14:textId="106DA30E" w:rsidR="00D412B2" w:rsidRDefault="00D412B2" w:rsidP="00D412B2"/>
    <w:p w14:paraId="01385C4F" w14:textId="77777777" w:rsidR="001D7CF5" w:rsidRDefault="001D7CF5" w:rsidP="00D412B2"/>
    <w:p w14:paraId="30D6E830" w14:textId="7101085B" w:rsidR="00D412B2" w:rsidRDefault="00A766D6" w:rsidP="0004106A">
      <w:pPr>
        <w:pStyle w:val="svelte-1sntxl4"/>
        <w:shd w:val="clear" w:color="auto" w:fill="FFFFFF"/>
        <w:spacing w:before="0" w:beforeAutospacing="0" w:after="0" w:afterAutospacing="0"/>
        <w:rPr>
          <w:rFonts w:asciiTheme="minorHAnsi" w:eastAsiaTheme="majorEastAsia" w:hAnsiTheme="minorHAnsi" w:cstheme="minorHAnsi"/>
        </w:rPr>
      </w:pPr>
      <w:r w:rsidRPr="00D412B2">
        <w:rPr>
          <w:rStyle w:val="svelte-1sntxl41"/>
          <w:rFonts w:asciiTheme="minorHAnsi" w:eastAsiaTheme="majorEastAsia" w:hAnsiTheme="minorHAnsi" w:cstheme="minorHAnsi"/>
        </w:rPr>
        <w:t xml:space="preserve">The documentary "The Great Hack" explores the misuse of personal data, particularly focusing on the Cambridge Analytica scandal, where the data of millions of Facebook users was </w:t>
      </w:r>
      <w:r w:rsidRPr="00D412B2">
        <w:rPr>
          <w:rStyle w:val="svelte-1sntxl41"/>
          <w:rFonts w:asciiTheme="minorHAnsi" w:eastAsiaTheme="majorEastAsia" w:hAnsiTheme="minorHAnsi" w:cstheme="minorHAnsi"/>
        </w:rPr>
        <w:lastRenderedPageBreak/>
        <w:t xml:space="preserve">harvested without their consent and used for political advertising. </w:t>
      </w:r>
      <w:r w:rsidR="00D412B2">
        <w:rPr>
          <w:rStyle w:val="svelte-1sntxl41"/>
          <w:rFonts w:asciiTheme="minorHAnsi" w:eastAsiaTheme="majorEastAsia" w:hAnsiTheme="minorHAnsi" w:cstheme="minorHAnsi"/>
        </w:rPr>
        <w:t>T</w:t>
      </w:r>
      <w:r w:rsidR="00D412B2" w:rsidRPr="00D412B2">
        <w:rPr>
          <w:rFonts w:asciiTheme="minorHAnsi" w:eastAsiaTheme="majorEastAsia" w:hAnsiTheme="minorHAnsi" w:cstheme="minorHAnsi"/>
        </w:rPr>
        <w:t>he documentary focuses on David Carroll of </w:t>
      </w:r>
      <w:hyperlink r:id="rId7" w:tooltip="Parsons School of Design" w:history="1">
        <w:r w:rsidR="00D412B2" w:rsidRPr="00D412B2">
          <w:rPr>
            <w:rStyle w:val="Hyperlink"/>
            <w:rFonts w:asciiTheme="minorHAnsi" w:eastAsiaTheme="majorEastAsia" w:hAnsiTheme="minorHAnsi" w:cstheme="minorHAnsi"/>
            <w:color w:val="auto"/>
            <w:u w:val="none"/>
          </w:rPr>
          <w:t>Parsons</w:t>
        </w:r>
      </w:hyperlink>
      <w:r w:rsidR="00D412B2" w:rsidRPr="00D412B2">
        <w:rPr>
          <w:rFonts w:asciiTheme="minorHAnsi" w:eastAsiaTheme="majorEastAsia" w:hAnsiTheme="minorHAnsi" w:cstheme="minorHAnsi"/>
        </w:rPr>
        <w:t> and </w:t>
      </w:r>
      <w:hyperlink r:id="rId8" w:tooltip="The New School" w:history="1">
        <w:r w:rsidR="00D412B2" w:rsidRPr="00D412B2">
          <w:rPr>
            <w:rStyle w:val="Hyperlink"/>
            <w:rFonts w:asciiTheme="minorHAnsi" w:eastAsiaTheme="majorEastAsia" w:hAnsiTheme="minorHAnsi" w:cstheme="minorHAnsi"/>
            <w:color w:val="auto"/>
            <w:u w:val="none"/>
          </w:rPr>
          <w:t>The New School</w:t>
        </w:r>
      </w:hyperlink>
      <w:r w:rsidR="00D412B2" w:rsidRPr="00D412B2">
        <w:rPr>
          <w:rFonts w:asciiTheme="minorHAnsi" w:eastAsiaTheme="majorEastAsia" w:hAnsiTheme="minorHAnsi" w:cstheme="minorHAnsi"/>
        </w:rPr>
        <w:t>, </w:t>
      </w:r>
      <w:hyperlink r:id="rId9" w:tooltip="Brittany Kaiser" w:history="1">
        <w:r w:rsidR="00D412B2" w:rsidRPr="00D412B2">
          <w:rPr>
            <w:rStyle w:val="Hyperlink"/>
            <w:rFonts w:asciiTheme="minorHAnsi" w:eastAsiaTheme="majorEastAsia" w:hAnsiTheme="minorHAnsi" w:cstheme="minorHAnsi"/>
            <w:color w:val="auto"/>
            <w:u w:val="none"/>
          </w:rPr>
          <w:t>Brittany Kaiser</w:t>
        </w:r>
      </w:hyperlink>
      <w:r w:rsidR="00D412B2" w:rsidRPr="00D412B2">
        <w:rPr>
          <w:rFonts w:asciiTheme="minorHAnsi" w:eastAsiaTheme="majorEastAsia" w:hAnsiTheme="minorHAnsi" w:cstheme="minorHAnsi"/>
        </w:rPr>
        <w:t> (former business development director for </w:t>
      </w:r>
      <w:hyperlink r:id="rId10" w:tooltip="Cambridge Analytica" w:history="1">
        <w:r w:rsidR="00D412B2" w:rsidRPr="00D412B2">
          <w:rPr>
            <w:rStyle w:val="Hyperlink"/>
            <w:rFonts w:asciiTheme="minorHAnsi" w:eastAsiaTheme="majorEastAsia" w:hAnsiTheme="minorHAnsi" w:cstheme="minorHAnsi"/>
            <w:color w:val="auto"/>
            <w:u w:val="none"/>
          </w:rPr>
          <w:t>Cambridge Analytica</w:t>
        </w:r>
      </w:hyperlink>
      <w:r w:rsidR="00D412B2" w:rsidRPr="00D412B2">
        <w:rPr>
          <w:rFonts w:asciiTheme="minorHAnsi" w:eastAsiaTheme="majorEastAsia" w:hAnsiTheme="minorHAnsi" w:cstheme="minorHAnsi"/>
        </w:rPr>
        <w:t>), and British investigative journalist </w:t>
      </w:r>
      <w:hyperlink r:id="rId11" w:tooltip="Carole Cadwalladr" w:history="1">
        <w:r w:rsidR="00D412B2" w:rsidRPr="00D412B2">
          <w:rPr>
            <w:rStyle w:val="Hyperlink"/>
            <w:rFonts w:asciiTheme="minorHAnsi" w:eastAsiaTheme="majorEastAsia" w:hAnsiTheme="minorHAnsi" w:cstheme="minorHAnsi"/>
            <w:color w:val="auto"/>
            <w:u w:val="none"/>
          </w:rPr>
          <w:t>Carole Cadwalladr</w:t>
        </w:r>
      </w:hyperlink>
      <w:r w:rsidR="00D412B2" w:rsidRPr="00D412B2">
        <w:rPr>
          <w:rFonts w:asciiTheme="minorHAnsi" w:eastAsiaTheme="majorEastAsia" w:hAnsiTheme="minorHAnsi" w:cstheme="minorHAnsi"/>
        </w:rPr>
        <w:t>. Their stories interweave to expose the work of Cambridge Analytica in the politics of various countries, including the United Kingdom's </w:t>
      </w:r>
      <w:hyperlink r:id="rId12" w:tooltip="Brexit" w:history="1">
        <w:r w:rsidR="00D412B2" w:rsidRPr="00D412B2">
          <w:rPr>
            <w:rStyle w:val="Hyperlink"/>
            <w:rFonts w:asciiTheme="minorHAnsi" w:eastAsiaTheme="majorEastAsia" w:hAnsiTheme="minorHAnsi" w:cstheme="minorHAnsi"/>
            <w:color w:val="auto"/>
            <w:u w:val="none"/>
          </w:rPr>
          <w:t>Brexit</w:t>
        </w:r>
      </w:hyperlink>
      <w:r w:rsidR="00D412B2" w:rsidRPr="00D412B2">
        <w:rPr>
          <w:rFonts w:asciiTheme="minorHAnsi" w:eastAsiaTheme="majorEastAsia" w:hAnsiTheme="minorHAnsi" w:cstheme="minorHAnsi"/>
        </w:rPr>
        <w:t> campaign and the </w:t>
      </w:r>
      <w:hyperlink r:id="rId13" w:tooltip="2016 United States elections" w:history="1">
        <w:r w:rsidR="00D412B2" w:rsidRPr="00D412B2">
          <w:rPr>
            <w:rStyle w:val="Hyperlink"/>
            <w:rFonts w:asciiTheme="minorHAnsi" w:eastAsiaTheme="majorEastAsia" w:hAnsiTheme="minorHAnsi" w:cstheme="minorHAnsi"/>
            <w:color w:val="auto"/>
            <w:u w:val="none"/>
          </w:rPr>
          <w:t>2016 United States elections</w:t>
        </w:r>
      </w:hyperlink>
      <w:r w:rsidR="00D412B2">
        <w:rPr>
          <w:rFonts w:asciiTheme="minorHAnsi" w:eastAsiaTheme="majorEastAsia" w:hAnsiTheme="minorHAnsi" w:cstheme="minorHAnsi"/>
        </w:rPr>
        <w:t>.</w:t>
      </w:r>
    </w:p>
    <w:p w14:paraId="1A1D537B" w14:textId="77777777" w:rsidR="00D412B2" w:rsidRPr="00D412B2" w:rsidRDefault="00D412B2" w:rsidP="00D412B2">
      <w:pPr>
        <w:pStyle w:val="svelte-1sntxl4"/>
        <w:spacing w:before="0" w:after="0"/>
        <w:rPr>
          <w:rFonts w:asciiTheme="minorHAnsi" w:eastAsiaTheme="majorEastAsia" w:hAnsiTheme="minorHAnsi" w:cstheme="minorHAnsi"/>
        </w:rPr>
      </w:pPr>
      <w:r w:rsidRPr="00D412B2">
        <w:rPr>
          <w:rFonts w:asciiTheme="minorHAnsi" w:eastAsiaTheme="majorEastAsia" w:hAnsiTheme="minorHAnsi" w:cstheme="minorHAnsi"/>
        </w:rPr>
        <w:t>The SCL Group was a private research and strategic communications company interested in studying and influencing mass behavior. With alleged expertise in </w:t>
      </w:r>
      <w:hyperlink r:id="rId14" w:tooltip="Psychological operations" w:history="1">
        <w:r w:rsidRPr="00D412B2">
          <w:rPr>
            <w:rStyle w:val="Hyperlink"/>
            <w:rFonts w:asciiTheme="minorHAnsi" w:eastAsiaTheme="majorEastAsia" w:hAnsiTheme="minorHAnsi" w:cstheme="minorHAnsi"/>
            <w:color w:val="auto"/>
            <w:u w:val="none"/>
          </w:rPr>
          <w:t>psychological operations</w:t>
        </w:r>
      </w:hyperlink>
      <w:r w:rsidRPr="00D412B2">
        <w:rPr>
          <w:rFonts w:asciiTheme="minorHAnsi" w:eastAsiaTheme="majorEastAsia" w:hAnsiTheme="minorHAnsi" w:cstheme="minorHAnsi"/>
        </w:rPr>
        <w:t> (psyops), the company worked in military and political operations around the world in the late 1990s, including electioneering in the developing world throughout the early 2000s. To do business involving US elections, the subsidiary Cambridge Analytica was formed in 2012.</w:t>
      </w:r>
    </w:p>
    <w:p w14:paraId="72185273" w14:textId="4842F048" w:rsidR="00D412B2" w:rsidRDefault="00D412B2" w:rsidP="00D412B2">
      <w:pPr>
        <w:pStyle w:val="svelte-1sntxl4"/>
        <w:spacing w:before="0" w:after="0"/>
        <w:rPr>
          <w:rFonts w:asciiTheme="minorHAnsi" w:eastAsiaTheme="majorEastAsia" w:hAnsiTheme="minorHAnsi" w:cstheme="minorHAnsi"/>
        </w:rPr>
      </w:pPr>
      <w:r w:rsidRPr="00D412B2">
        <w:rPr>
          <w:rFonts w:asciiTheme="minorHAnsi" w:eastAsiaTheme="majorEastAsia" w:hAnsiTheme="minorHAnsi" w:cstheme="minorHAnsi"/>
        </w:rPr>
        <w:t>In 2015, Cambridge Analytica, a UK-based </w:t>
      </w:r>
      <w:hyperlink r:id="rId15" w:tooltip="Political consulting" w:history="1">
        <w:r w:rsidRPr="00D412B2">
          <w:rPr>
            <w:rStyle w:val="Hyperlink"/>
            <w:rFonts w:asciiTheme="minorHAnsi" w:eastAsiaTheme="majorEastAsia" w:hAnsiTheme="minorHAnsi" w:cstheme="minorHAnsi"/>
            <w:color w:val="auto"/>
            <w:u w:val="none"/>
          </w:rPr>
          <w:t>political consulting</w:t>
        </w:r>
      </w:hyperlink>
      <w:r w:rsidRPr="00D412B2">
        <w:rPr>
          <w:rFonts w:asciiTheme="minorHAnsi" w:eastAsiaTheme="majorEastAsia" w:hAnsiTheme="minorHAnsi" w:cstheme="minorHAnsi"/>
        </w:rPr>
        <w:t> firm, began working on behalf of </w:t>
      </w:r>
      <w:hyperlink r:id="rId16" w:tooltip="Ted Cruz's presidential campaign" w:history="1">
        <w:r w:rsidRPr="00D412B2">
          <w:rPr>
            <w:rStyle w:val="Hyperlink"/>
            <w:rFonts w:asciiTheme="minorHAnsi" w:eastAsiaTheme="majorEastAsia" w:hAnsiTheme="minorHAnsi" w:cstheme="minorHAnsi"/>
            <w:color w:val="auto"/>
            <w:u w:val="none"/>
          </w:rPr>
          <w:t>Ted Cruz's presidential campaign</w:t>
        </w:r>
      </w:hyperlink>
      <w:r w:rsidRPr="00D412B2">
        <w:rPr>
          <w:rFonts w:asciiTheme="minorHAnsi" w:eastAsiaTheme="majorEastAsia" w:hAnsiTheme="minorHAnsi" w:cstheme="minorHAnsi"/>
        </w:rPr>
        <w:t> to attempt to win the 2016 US Republican nomination. It used Facebook as a means for "political-voter surveillance" through the collection of user data points. Independent investigations into data mining, along with whistle-blower accounts of the firm's impact on </w:t>
      </w:r>
      <w:hyperlink r:id="rId17" w:tooltip="Brexit" w:history="1">
        <w:r w:rsidRPr="00D412B2">
          <w:rPr>
            <w:rStyle w:val="Hyperlink"/>
            <w:rFonts w:asciiTheme="minorHAnsi" w:eastAsiaTheme="majorEastAsia" w:hAnsiTheme="minorHAnsi" w:cstheme="minorHAnsi"/>
            <w:color w:val="auto"/>
            <w:u w:val="none"/>
          </w:rPr>
          <w:t>Brexit</w:t>
        </w:r>
      </w:hyperlink>
      <w:r w:rsidRPr="00D412B2">
        <w:rPr>
          <w:rFonts w:asciiTheme="minorHAnsi" w:eastAsiaTheme="majorEastAsia" w:hAnsiTheme="minorHAnsi" w:cstheme="minorHAnsi"/>
        </w:rPr>
        <w:t>, led to a scandal over the influence of social media in political elections</w:t>
      </w:r>
      <w:r>
        <w:rPr>
          <w:rFonts w:asciiTheme="minorHAnsi" w:eastAsiaTheme="majorEastAsia" w:hAnsiTheme="minorHAnsi" w:cstheme="minorHAnsi"/>
        </w:rPr>
        <w:t>.</w:t>
      </w:r>
    </w:p>
    <w:p w14:paraId="1FE3F1FA" w14:textId="405480B9" w:rsidR="00D412B2" w:rsidRPr="00D412B2" w:rsidRDefault="00D412B2" w:rsidP="00D412B2">
      <w:pPr>
        <w:pStyle w:val="svelte-1sntxl4"/>
        <w:spacing w:before="0" w:after="0"/>
        <w:rPr>
          <w:rFonts w:asciiTheme="minorHAnsi" w:eastAsiaTheme="majorEastAsia" w:hAnsiTheme="minorHAnsi" w:cstheme="minorHAnsi"/>
        </w:rPr>
      </w:pPr>
      <w:r w:rsidRPr="00D412B2">
        <w:rPr>
          <w:rFonts w:asciiTheme="minorHAnsi" w:eastAsiaTheme="majorEastAsia" w:hAnsiTheme="minorHAnsi" w:cstheme="minorHAnsi"/>
        </w:rPr>
        <w:t>The illicit harvesting of </w:t>
      </w:r>
      <w:hyperlink r:id="rId18" w:tooltip="Personal data" w:history="1">
        <w:r w:rsidRPr="00D412B2">
          <w:rPr>
            <w:rStyle w:val="Hyperlink"/>
            <w:rFonts w:asciiTheme="minorHAnsi" w:eastAsiaTheme="majorEastAsia" w:hAnsiTheme="minorHAnsi" w:cstheme="minorHAnsi"/>
            <w:color w:val="auto"/>
            <w:u w:val="none"/>
          </w:rPr>
          <w:t>personal data</w:t>
        </w:r>
      </w:hyperlink>
      <w:r w:rsidRPr="00D412B2">
        <w:rPr>
          <w:rFonts w:asciiTheme="minorHAnsi" w:eastAsiaTheme="majorEastAsia" w:hAnsiTheme="minorHAnsi" w:cstheme="minorHAnsi"/>
        </w:rPr>
        <w:t> by Cambridge Analytica was first reported in December 2015 by Harry Davies, a journalist for </w:t>
      </w:r>
      <w:hyperlink r:id="rId19" w:tooltip="The Guardian" w:history="1">
        <w:r w:rsidRPr="00D412B2">
          <w:rPr>
            <w:rStyle w:val="Hyperlink"/>
            <w:rFonts w:asciiTheme="minorHAnsi" w:eastAsiaTheme="majorEastAsia" w:hAnsiTheme="minorHAnsi" w:cstheme="minorHAnsi"/>
            <w:i/>
            <w:iCs/>
            <w:color w:val="auto"/>
            <w:u w:val="none"/>
          </w:rPr>
          <w:t>The Guardian</w:t>
        </w:r>
      </w:hyperlink>
      <w:r w:rsidRPr="00D412B2">
        <w:rPr>
          <w:rFonts w:asciiTheme="minorHAnsi" w:eastAsiaTheme="majorEastAsia" w:hAnsiTheme="minorHAnsi" w:cstheme="minorHAnsi"/>
        </w:rPr>
        <w:t>. He reported that Cambridge Analytica was working for United States senator </w:t>
      </w:r>
      <w:hyperlink r:id="rId20" w:tooltip="Ted Cruz" w:history="1">
        <w:r w:rsidRPr="00D412B2">
          <w:rPr>
            <w:rStyle w:val="Hyperlink"/>
            <w:rFonts w:asciiTheme="minorHAnsi" w:eastAsiaTheme="majorEastAsia" w:hAnsiTheme="minorHAnsi" w:cstheme="minorHAnsi"/>
            <w:color w:val="auto"/>
            <w:u w:val="none"/>
          </w:rPr>
          <w:t>Ted Cruz</w:t>
        </w:r>
      </w:hyperlink>
      <w:r w:rsidRPr="00D412B2">
        <w:rPr>
          <w:rFonts w:asciiTheme="minorHAnsi" w:eastAsiaTheme="majorEastAsia" w:hAnsiTheme="minorHAnsi" w:cstheme="minorHAnsi"/>
        </w:rPr>
        <w:t> and used data harvested from millions of people's Facebook accounts without their consent.</w:t>
      </w:r>
      <w:r w:rsidR="00217C09" w:rsidRPr="00217C09">
        <w:rPr>
          <w:rFonts w:asciiTheme="minorHAnsi" w:eastAsiaTheme="majorEastAsia" w:hAnsiTheme="minorHAnsi" w:cstheme="minorHAnsi"/>
        </w:rPr>
        <w:t xml:space="preserve"> </w:t>
      </w:r>
    </w:p>
    <w:p w14:paraId="08A87F1A" w14:textId="77777777" w:rsidR="00217C09" w:rsidRDefault="00D412B2" w:rsidP="00217C09">
      <w:pPr>
        <w:pStyle w:val="svelte-1sntxl4"/>
        <w:spacing w:before="0" w:after="0"/>
        <w:rPr>
          <w:rFonts w:asciiTheme="minorHAnsi" w:eastAsiaTheme="majorEastAsia" w:hAnsiTheme="minorHAnsi" w:cstheme="minorHAnsi"/>
        </w:rPr>
      </w:pPr>
      <w:r w:rsidRPr="00D412B2">
        <w:rPr>
          <w:rFonts w:asciiTheme="minorHAnsi" w:eastAsiaTheme="majorEastAsia" w:hAnsiTheme="minorHAnsi" w:cstheme="minorHAnsi"/>
        </w:rPr>
        <w:t>Facebook refused to comment on the story other than to say it was investigating. Further reports followed in the Swiss publication </w:t>
      </w:r>
      <w:r w:rsidRPr="00D412B2">
        <w:rPr>
          <w:rFonts w:asciiTheme="minorHAnsi" w:eastAsiaTheme="majorEastAsia" w:hAnsiTheme="minorHAnsi" w:cstheme="minorHAnsi"/>
          <w:i/>
          <w:iCs/>
        </w:rPr>
        <w:t xml:space="preserve">Das </w:t>
      </w:r>
      <w:proofErr w:type="spellStart"/>
      <w:r w:rsidRPr="00D412B2">
        <w:rPr>
          <w:rFonts w:asciiTheme="minorHAnsi" w:eastAsiaTheme="majorEastAsia" w:hAnsiTheme="minorHAnsi" w:cstheme="minorHAnsi"/>
          <w:i/>
          <w:iCs/>
        </w:rPr>
        <w:t>Magazin</w:t>
      </w:r>
      <w:proofErr w:type="spellEnd"/>
      <w:r w:rsidRPr="00D412B2">
        <w:rPr>
          <w:rFonts w:asciiTheme="minorHAnsi" w:eastAsiaTheme="majorEastAsia" w:hAnsiTheme="minorHAnsi" w:cstheme="minorHAnsi"/>
        </w:rPr>
        <w:t xml:space="preserve"> by Hannes </w:t>
      </w:r>
      <w:proofErr w:type="spellStart"/>
      <w:r w:rsidRPr="00D412B2">
        <w:rPr>
          <w:rFonts w:asciiTheme="minorHAnsi" w:eastAsiaTheme="majorEastAsia" w:hAnsiTheme="minorHAnsi" w:cstheme="minorHAnsi"/>
        </w:rPr>
        <w:t>Grasseger</w:t>
      </w:r>
      <w:proofErr w:type="spellEnd"/>
      <w:r w:rsidRPr="00D412B2">
        <w:rPr>
          <w:rFonts w:asciiTheme="minorHAnsi" w:eastAsiaTheme="majorEastAsia" w:hAnsiTheme="minorHAnsi" w:cstheme="minorHAnsi"/>
        </w:rPr>
        <w:t xml:space="preserve"> and Mikael </w:t>
      </w:r>
      <w:proofErr w:type="spellStart"/>
      <w:r w:rsidRPr="00D412B2">
        <w:rPr>
          <w:rFonts w:asciiTheme="minorHAnsi" w:eastAsiaTheme="majorEastAsia" w:hAnsiTheme="minorHAnsi" w:cstheme="minorHAnsi"/>
        </w:rPr>
        <w:t>Krogerus</w:t>
      </w:r>
      <w:proofErr w:type="spellEnd"/>
      <w:r w:rsidRPr="00D412B2">
        <w:rPr>
          <w:rFonts w:asciiTheme="minorHAnsi" w:eastAsiaTheme="majorEastAsia" w:hAnsiTheme="minorHAnsi" w:cstheme="minorHAnsi"/>
        </w:rPr>
        <w:t xml:space="preserve"> (December 2016), (later translated and published by </w:t>
      </w:r>
      <w:hyperlink r:id="rId21" w:tooltip="Vice (magazine)" w:history="1">
        <w:r w:rsidRPr="00D412B2">
          <w:rPr>
            <w:rStyle w:val="Hyperlink"/>
            <w:rFonts w:asciiTheme="minorHAnsi" w:eastAsiaTheme="majorEastAsia" w:hAnsiTheme="minorHAnsi" w:cstheme="minorHAnsi"/>
            <w:i/>
            <w:iCs/>
            <w:color w:val="auto"/>
            <w:u w:val="none"/>
          </w:rPr>
          <w:t>Vice</w:t>
        </w:r>
      </w:hyperlink>
      <w:r w:rsidRPr="00D412B2">
        <w:rPr>
          <w:rFonts w:asciiTheme="minorHAnsi" w:eastAsiaTheme="majorEastAsia" w:hAnsiTheme="minorHAnsi" w:cstheme="minorHAnsi"/>
        </w:rPr>
        <w:t>), </w:t>
      </w:r>
      <w:hyperlink r:id="rId22" w:tooltip="Carole Cadwalladr" w:history="1">
        <w:r w:rsidRPr="00D412B2">
          <w:rPr>
            <w:rStyle w:val="Hyperlink"/>
            <w:rFonts w:asciiTheme="minorHAnsi" w:eastAsiaTheme="majorEastAsia" w:hAnsiTheme="minorHAnsi" w:cstheme="minorHAnsi"/>
            <w:color w:val="auto"/>
            <w:u w:val="none"/>
          </w:rPr>
          <w:t>Carole Cadwalladr</w:t>
        </w:r>
      </w:hyperlink>
      <w:r w:rsidRPr="00D412B2">
        <w:rPr>
          <w:rFonts w:asciiTheme="minorHAnsi" w:eastAsiaTheme="majorEastAsia" w:hAnsiTheme="minorHAnsi" w:cstheme="minorHAnsi"/>
        </w:rPr>
        <w:t> in </w:t>
      </w:r>
      <w:r w:rsidRPr="00D412B2">
        <w:rPr>
          <w:rFonts w:asciiTheme="minorHAnsi" w:eastAsiaTheme="majorEastAsia" w:hAnsiTheme="minorHAnsi" w:cstheme="minorHAnsi"/>
          <w:i/>
          <w:iCs/>
        </w:rPr>
        <w:t>The Guardian</w:t>
      </w:r>
      <w:r w:rsidRPr="00D412B2">
        <w:rPr>
          <w:rFonts w:asciiTheme="minorHAnsi" w:eastAsiaTheme="majorEastAsia" w:hAnsiTheme="minorHAnsi" w:cstheme="minorHAnsi"/>
        </w:rPr>
        <w:t> (starting in February 2017) and Mattathias Schwartz in </w:t>
      </w:r>
      <w:hyperlink r:id="rId23" w:tooltip="The Intercept" w:history="1">
        <w:r w:rsidRPr="00D412B2">
          <w:rPr>
            <w:rStyle w:val="Hyperlink"/>
            <w:rFonts w:asciiTheme="minorHAnsi" w:eastAsiaTheme="majorEastAsia" w:hAnsiTheme="minorHAnsi" w:cstheme="minorHAnsi"/>
            <w:i/>
            <w:iCs/>
            <w:color w:val="auto"/>
            <w:u w:val="none"/>
          </w:rPr>
          <w:t>The Intercept</w:t>
        </w:r>
      </w:hyperlink>
      <w:r w:rsidRPr="00D412B2">
        <w:rPr>
          <w:rFonts w:asciiTheme="minorHAnsi" w:eastAsiaTheme="majorEastAsia" w:hAnsiTheme="minorHAnsi" w:cstheme="minorHAnsi"/>
        </w:rPr>
        <w:t> (March 2017). Brittany Kaiser, former director of Business Development at Cambridge Analytica, revealed that everything published involving Cambridge Analytica in the Brexit campaign and </w:t>
      </w:r>
      <w:hyperlink r:id="rId24" w:tooltip="Ted Cruz" w:history="1">
        <w:r w:rsidRPr="00D412B2">
          <w:rPr>
            <w:rStyle w:val="Hyperlink"/>
            <w:rFonts w:asciiTheme="minorHAnsi" w:eastAsiaTheme="majorEastAsia" w:hAnsiTheme="minorHAnsi" w:cstheme="minorHAnsi"/>
            <w:color w:val="auto"/>
            <w:u w:val="none"/>
          </w:rPr>
          <w:t>Ted Cruz</w:t>
        </w:r>
      </w:hyperlink>
      <w:r w:rsidRPr="00D412B2">
        <w:rPr>
          <w:rFonts w:asciiTheme="minorHAnsi" w:eastAsiaTheme="majorEastAsia" w:hAnsiTheme="minorHAnsi" w:cstheme="minorHAnsi"/>
        </w:rPr>
        <w:t>'s campaign was true. The scandal reached a point where even </w:t>
      </w:r>
      <w:hyperlink r:id="rId25" w:tooltip="Mark Zuckerberg" w:history="1">
        <w:r w:rsidRPr="00D412B2">
          <w:rPr>
            <w:rStyle w:val="Hyperlink"/>
            <w:rFonts w:asciiTheme="minorHAnsi" w:eastAsiaTheme="majorEastAsia" w:hAnsiTheme="minorHAnsi" w:cstheme="minorHAnsi"/>
            <w:color w:val="auto"/>
            <w:u w:val="none"/>
          </w:rPr>
          <w:t>Mark Zuckerberg</w:t>
        </w:r>
      </w:hyperlink>
      <w:r w:rsidRPr="00D412B2">
        <w:rPr>
          <w:rFonts w:asciiTheme="minorHAnsi" w:eastAsiaTheme="majorEastAsia" w:hAnsiTheme="minorHAnsi" w:cstheme="minorHAnsi"/>
        </w:rPr>
        <w:t>, Facebook's founder, had to testify officially in front of several committees of the </w:t>
      </w:r>
      <w:hyperlink r:id="rId26" w:tooltip="United States Congress" w:history="1">
        <w:r w:rsidRPr="00D412B2">
          <w:rPr>
            <w:rStyle w:val="Hyperlink"/>
            <w:rFonts w:asciiTheme="minorHAnsi" w:eastAsiaTheme="majorEastAsia" w:hAnsiTheme="minorHAnsi" w:cstheme="minorHAnsi"/>
            <w:color w:val="auto"/>
            <w:u w:val="none"/>
          </w:rPr>
          <w:t>United States Congress</w:t>
        </w:r>
      </w:hyperlink>
      <w:r w:rsidRPr="00D412B2">
        <w:rPr>
          <w:rFonts w:asciiTheme="minorHAnsi" w:eastAsiaTheme="majorEastAsia" w:hAnsiTheme="minorHAnsi" w:cstheme="minorHAnsi"/>
        </w:rPr>
        <w:t>.</w:t>
      </w:r>
      <w:r w:rsidRPr="00217C09">
        <w:rPr>
          <w:rFonts w:asciiTheme="minorHAnsi" w:eastAsiaTheme="majorEastAsia" w:hAnsiTheme="minorHAnsi" w:cstheme="minorHAnsi"/>
        </w:rPr>
        <w:t xml:space="preserve"> </w:t>
      </w:r>
    </w:p>
    <w:p w14:paraId="46675C96" w14:textId="77777777" w:rsidR="00217C09" w:rsidRDefault="00217C09" w:rsidP="00217C09">
      <w:pPr>
        <w:pStyle w:val="svelte-1sntxl4"/>
        <w:spacing w:before="0" w:after="0"/>
        <w:rPr>
          <w:rFonts w:asciiTheme="minorHAnsi" w:eastAsiaTheme="majorEastAsia" w:hAnsiTheme="minorHAnsi" w:cstheme="minorHAnsi"/>
        </w:rPr>
      </w:pPr>
    </w:p>
    <w:p w14:paraId="153A3939" w14:textId="75B20D54" w:rsidR="00217C09" w:rsidRDefault="00217C09" w:rsidP="00217C09">
      <w:pPr>
        <w:pStyle w:val="svelte-1sntxl4"/>
        <w:spacing w:before="0" w:after="0"/>
        <w:rPr>
          <w:rFonts w:asciiTheme="minorHAnsi" w:eastAsiaTheme="majorEastAsia" w:hAnsiTheme="minorHAnsi" w:cstheme="minorHAnsi"/>
        </w:rPr>
      </w:pPr>
      <w:r w:rsidRPr="00D412B2">
        <w:lastRenderedPageBreak/>
        <w:drawing>
          <wp:inline distT="0" distB="0" distL="0" distR="0" wp14:anchorId="4AB6569C" wp14:editId="2CCD4400">
            <wp:extent cx="5943600" cy="3714750"/>
            <wp:effectExtent l="0" t="0" r="0" b="0"/>
            <wp:docPr id="2146876638" name="Picture 3" descr="What Are the Fundamentals of Information Security?">
              <a:hlinkClick xmlns:a="http://schemas.openxmlformats.org/drawingml/2006/main" r:id="rId2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Are the Fundamentals of Information Security?">
                      <a:hlinkClick r:id="rId27" tgtFrame="&quot;_self&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F82EE29" w14:textId="77777777" w:rsidR="00217C09" w:rsidRDefault="00217C09" w:rsidP="00217C09">
      <w:pPr>
        <w:pStyle w:val="svelte-1sntxl4"/>
        <w:spacing w:before="0" w:after="0"/>
        <w:rPr>
          <w:rFonts w:asciiTheme="minorHAnsi" w:eastAsiaTheme="majorEastAsia" w:hAnsiTheme="minorHAnsi" w:cstheme="minorHAnsi"/>
        </w:rPr>
      </w:pPr>
    </w:p>
    <w:p w14:paraId="51F7AA1D" w14:textId="5EAF5DA6" w:rsidR="00217C09" w:rsidRPr="00217C09" w:rsidRDefault="00A766D6" w:rsidP="00217C09">
      <w:pPr>
        <w:pStyle w:val="svelte-1sntxl4"/>
        <w:spacing w:before="0" w:after="0"/>
        <w:rPr>
          <w:rFonts w:asciiTheme="minorHAnsi" w:eastAsiaTheme="majorEastAsia" w:hAnsiTheme="minorHAnsi" w:cstheme="minorHAnsi"/>
        </w:rPr>
      </w:pPr>
      <w:r w:rsidRPr="00D412B2">
        <w:rPr>
          <w:rStyle w:val="svelte-1sntxl41"/>
          <w:rFonts w:asciiTheme="minorHAnsi" w:eastAsiaTheme="majorEastAsia" w:hAnsiTheme="minorHAnsi" w:cstheme="minorHAnsi"/>
        </w:rPr>
        <w:t>Data privacy is a critical concern in the context of the documentary, as it highlights the unauthorized collection and use of personal data. The context mentions the importance of protecting digital evidence and ensuring the integrity of digital devices and digital evidence through a chain of custody.</w:t>
      </w:r>
      <w:r w:rsidR="0004106A" w:rsidRPr="00D412B2">
        <w:rPr>
          <w:rStyle w:val="svelte-1sntxl41"/>
          <w:rFonts w:asciiTheme="minorHAnsi" w:eastAsiaTheme="majorEastAsia" w:hAnsiTheme="minorHAnsi" w:cstheme="minorHAnsi"/>
        </w:rPr>
        <w:t xml:space="preserve"> </w:t>
      </w:r>
      <w:r w:rsidRPr="00D412B2">
        <w:rPr>
          <w:rStyle w:val="svelte-1sntxl41"/>
          <w:rFonts w:asciiTheme="minorHAnsi" w:eastAsiaTheme="majorEastAsia" w:hAnsiTheme="minorHAnsi" w:cstheme="minorHAnsi"/>
        </w:rPr>
        <w:t>This aligns with the need for robust data privacy measures to prevent unauthorized access and misuse of personal information.</w:t>
      </w:r>
    </w:p>
    <w:p w14:paraId="1AD5FE0E" w14:textId="64C418C8" w:rsidR="00A766D6" w:rsidRPr="00D412B2" w:rsidRDefault="00A766D6" w:rsidP="0004106A">
      <w:pPr>
        <w:pStyle w:val="svelte-1sntxl4"/>
        <w:shd w:val="clear" w:color="auto" w:fill="FFFFFF"/>
        <w:spacing w:before="360" w:beforeAutospacing="0" w:after="0" w:afterAutospacing="0"/>
        <w:rPr>
          <w:rFonts w:asciiTheme="minorHAnsi" w:hAnsiTheme="minorHAnsi" w:cstheme="minorHAnsi"/>
        </w:rPr>
      </w:pPr>
      <w:r w:rsidRPr="00D412B2">
        <w:rPr>
          <w:rStyle w:val="svelte-1sntxl41"/>
          <w:rFonts w:asciiTheme="minorHAnsi" w:eastAsiaTheme="majorEastAsia" w:hAnsiTheme="minorHAnsi" w:cstheme="minorHAnsi"/>
        </w:rPr>
        <w:t>Information security is another key aspect discussed in the context, emphasizing the need for proactive defense and the integration of digital forensics with incident response. The context highlights the importance of using digital forensics techniques and tools to examine and analyze digital evidence to understand the scope of an event and apply incident response tools and techniques to detect, contain, and recover from attacks.</w:t>
      </w:r>
      <w:r w:rsidRPr="00D412B2">
        <w:rPr>
          <w:rFonts w:asciiTheme="minorHAnsi" w:hAnsiTheme="minorHAnsi" w:cstheme="minorHAnsi"/>
        </w:rPr>
        <w:t> </w:t>
      </w:r>
      <w:r w:rsidRPr="00D412B2">
        <w:rPr>
          <w:rStyle w:val="svelte-1sntxl41"/>
          <w:rFonts w:asciiTheme="minorHAnsi" w:eastAsiaTheme="majorEastAsia" w:hAnsiTheme="minorHAnsi" w:cstheme="minorHAnsi"/>
        </w:rPr>
        <w:t>This is relevant to the documentary's focus on the security breaches and the subsequent investigation into the misuse of data.</w:t>
      </w:r>
    </w:p>
    <w:p w14:paraId="17DC7EB9" w14:textId="6A24D826" w:rsidR="00A766D6" w:rsidRPr="00217C09" w:rsidRDefault="00A766D6" w:rsidP="00217C09">
      <w:pPr>
        <w:pStyle w:val="svelte-1sntxl4"/>
        <w:shd w:val="clear" w:color="auto" w:fill="FFFFFF"/>
        <w:spacing w:before="360" w:beforeAutospacing="0" w:after="0" w:afterAutospacing="0"/>
        <w:rPr>
          <w:rFonts w:asciiTheme="minorHAnsi" w:hAnsiTheme="minorHAnsi" w:cstheme="minorHAnsi"/>
        </w:rPr>
      </w:pPr>
      <w:r w:rsidRPr="00D412B2">
        <w:rPr>
          <w:rStyle w:val="svelte-1sntxl41"/>
          <w:rFonts w:asciiTheme="minorHAnsi" w:eastAsiaTheme="majorEastAsia" w:hAnsiTheme="minorHAnsi" w:cstheme="minorHAnsi"/>
        </w:rPr>
        <w:t>Digital forensics plays a crucial role in investigating cyber incidents and identifying threat actors. The context mentions the importance of digital forensics in the aftermath of an attack, providing information required by auditors, legal teams, or law enforcement.</w:t>
      </w:r>
      <w:r w:rsidR="0004106A" w:rsidRPr="00D412B2">
        <w:rPr>
          <w:rStyle w:val="inline-refs"/>
          <w:rFonts w:asciiTheme="minorHAnsi" w:eastAsiaTheme="majorEastAsia" w:hAnsiTheme="minorHAnsi" w:cstheme="minorHAnsi"/>
        </w:rPr>
        <w:t xml:space="preserve"> </w:t>
      </w:r>
      <w:r w:rsidRPr="00D412B2">
        <w:rPr>
          <w:rStyle w:val="svelte-1sntxl41"/>
          <w:rFonts w:asciiTheme="minorHAnsi" w:eastAsiaTheme="majorEastAsia" w:hAnsiTheme="minorHAnsi" w:cstheme="minorHAnsi"/>
        </w:rPr>
        <w:t>This is directly related to the documentary's exploration of the investigation into the Cambridge Analytica scandal and the subsequent legal and regulatory actions taken.</w:t>
      </w:r>
    </w:p>
    <w:p w14:paraId="46DBF233" w14:textId="77777777" w:rsidR="00A766D6" w:rsidRPr="00D412B2" w:rsidRDefault="00A766D6" w:rsidP="00A766D6">
      <w:pPr>
        <w:pStyle w:val="svelte-1sntxl4"/>
        <w:shd w:val="clear" w:color="auto" w:fill="FFFFFF"/>
        <w:spacing w:before="360" w:beforeAutospacing="0" w:after="0" w:afterAutospacing="0"/>
        <w:rPr>
          <w:rFonts w:asciiTheme="minorHAnsi" w:hAnsiTheme="minorHAnsi" w:cstheme="minorHAnsi"/>
        </w:rPr>
      </w:pPr>
      <w:r w:rsidRPr="00D412B2">
        <w:rPr>
          <w:rStyle w:val="svelte-1sntxl41"/>
          <w:rFonts w:asciiTheme="minorHAnsi" w:eastAsiaTheme="majorEastAsia" w:hAnsiTheme="minorHAnsi" w:cstheme="minorHAnsi"/>
        </w:rPr>
        <w:lastRenderedPageBreak/>
        <w:t>In conclusion, while the specific procedures, techniques, or incidents depicted in "The Great Hack" are not directly mentioned in the context, the themes of data privacy, information security, and digital forensics are highly relevant to the topics discussed. The context emphasizes the importance of protecting digital evidence, ensuring the integrity of digital devices, and using digital forensics techniques to investigate cyber incidents, all of which are critical in the context of the documentary's exploration of the misuse of personal data.</w:t>
      </w:r>
    </w:p>
    <w:p w14:paraId="276ACA34" w14:textId="77777777" w:rsidR="00A766D6" w:rsidRDefault="00A766D6" w:rsidP="00A766D6"/>
    <w:p w14:paraId="121BE567" w14:textId="77777777" w:rsidR="00217C09" w:rsidRPr="00217C09" w:rsidRDefault="00217C09" w:rsidP="00217C09">
      <w:pPr>
        <w:numPr>
          <w:ilvl w:val="0"/>
          <w:numId w:val="2"/>
        </w:numPr>
      </w:pPr>
      <w:r w:rsidRPr="00217C09">
        <w:t> </w:t>
      </w:r>
      <w:hyperlink r:id="rId29" w:history="1">
        <w:r w:rsidRPr="00217C09">
          <w:rPr>
            <w:rStyle w:val="Hyperlink"/>
            <w:i/>
            <w:iCs/>
            <w:color w:val="auto"/>
            <w:u w:val="none"/>
          </w:rPr>
          <w:t>"Netflix documentary The Great Hack turns the Cambridge Analytica scandal into high drama"</w:t>
        </w:r>
      </w:hyperlink>
      <w:r w:rsidRPr="00217C09">
        <w:rPr>
          <w:i/>
          <w:iCs/>
        </w:rPr>
        <w:t>. The Verge. July 8, 2019.</w:t>
      </w:r>
    </w:p>
    <w:p w14:paraId="533C4AD4" w14:textId="723EB14D" w:rsidR="00217C09" w:rsidRPr="00217C09" w:rsidRDefault="00217C09" w:rsidP="00217C09">
      <w:pPr>
        <w:numPr>
          <w:ilvl w:val="0"/>
          <w:numId w:val="2"/>
        </w:numPr>
      </w:pPr>
      <w:r w:rsidRPr="00217C09">
        <w:t> </w:t>
      </w:r>
      <w:hyperlink r:id="rId30" w:history="1">
        <w:r w:rsidRPr="00217C09">
          <w:rPr>
            <w:rStyle w:val="Hyperlink"/>
            <w:i/>
            <w:iCs/>
            <w:color w:val="auto"/>
            <w:u w:val="none"/>
          </w:rPr>
          <w:t xml:space="preserve">"Stream It </w:t>
        </w:r>
        <w:proofErr w:type="gramStart"/>
        <w:r w:rsidRPr="00217C09">
          <w:rPr>
            <w:rStyle w:val="Hyperlink"/>
            <w:i/>
            <w:iCs/>
            <w:color w:val="auto"/>
            <w:u w:val="none"/>
          </w:rPr>
          <w:t>Or</w:t>
        </w:r>
        <w:proofErr w:type="gramEnd"/>
        <w:r w:rsidRPr="00217C09">
          <w:rPr>
            <w:rStyle w:val="Hyperlink"/>
            <w:i/>
            <w:iCs/>
            <w:color w:val="auto"/>
            <w:u w:val="none"/>
          </w:rPr>
          <w:t xml:space="preserve"> Skip It: 'The Great Hack' On Netflix, A Documentary About How Cambridge Analytica Mined Our Personal Data </w:t>
        </w:r>
        <w:proofErr w:type="gramStart"/>
        <w:r w:rsidRPr="00217C09">
          <w:rPr>
            <w:rStyle w:val="Hyperlink"/>
            <w:i/>
            <w:iCs/>
            <w:color w:val="auto"/>
            <w:u w:val="none"/>
          </w:rPr>
          <w:t>And</w:t>
        </w:r>
        <w:proofErr w:type="gramEnd"/>
        <w:r w:rsidRPr="00217C09">
          <w:rPr>
            <w:rStyle w:val="Hyperlink"/>
            <w:i/>
            <w:iCs/>
            <w:color w:val="auto"/>
            <w:u w:val="none"/>
          </w:rPr>
          <w:t xml:space="preserve"> Who Blew </w:t>
        </w:r>
        <w:proofErr w:type="gramStart"/>
        <w:r w:rsidRPr="00217C09">
          <w:rPr>
            <w:rStyle w:val="Hyperlink"/>
            <w:i/>
            <w:iCs/>
            <w:color w:val="auto"/>
            <w:u w:val="none"/>
          </w:rPr>
          <w:t>The</w:t>
        </w:r>
        <w:proofErr w:type="gramEnd"/>
        <w:r w:rsidRPr="00217C09">
          <w:rPr>
            <w:rStyle w:val="Hyperlink"/>
            <w:i/>
            <w:iCs/>
            <w:color w:val="auto"/>
            <w:u w:val="none"/>
          </w:rPr>
          <w:t xml:space="preserve"> Whistle"</w:t>
        </w:r>
      </w:hyperlink>
      <w:r w:rsidRPr="00217C09">
        <w:rPr>
          <w:i/>
          <w:iCs/>
        </w:rPr>
        <w:t>. Decider. 24 July 2019. Retrieved August 5, 2019.</w:t>
      </w:r>
    </w:p>
    <w:p w14:paraId="4B0F7983" w14:textId="46CDA954" w:rsidR="00217C09" w:rsidRPr="00217C09" w:rsidRDefault="00217C09" w:rsidP="00217C09">
      <w:pPr>
        <w:numPr>
          <w:ilvl w:val="0"/>
          <w:numId w:val="2"/>
        </w:numPr>
      </w:pPr>
      <w:hyperlink r:id="rId31" w:history="1">
        <w:r w:rsidRPr="00217C09">
          <w:rPr>
            <w:rStyle w:val="Hyperlink"/>
            <w:i/>
            <w:iCs/>
            <w:color w:val="auto"/>
            <w:u w:val="none"/>
          </w:rPr>
          <w:t>"Netflix's The Great Hack Brings Our Data Nightmare to Life"</w:t>
        </w:r>
      </w:hyperlink>
      <w:r w:rsidRPr="00217C09">
        <w:rPr>
          <w:i/>
          <w:iCs/>
        </w:rPr>
        <w:t>. Wired. </w:t>
      </w:r>
      <w:hyperlink r:id="rId32" w:history="1">
        <w:r w:rsidRPr="00217C09">
          <w:rPr>
            <w:rStyle w:val="Hyperlink"/>
            <w:i/>
            <w:iCs/>
            <w:color w:val="auto"/>
            <w:u w:val="none"/>
          </w:rPr>
          <w:t>ISSN</w:t>
        </w:r>
      </w:hyperlink>
      <w:r w:rsidRPr="00217C09">
        <w:rPr>
          <w:i/>
          <w:iCs/>
        </w:rPr>
        <w:t> </w:t>
      </w:r>
      <w:hyperlink r:id="rId33" w:history="1">
        <w:r w:rsidRPr="00217C09">
          <w:rPr>
            <w:rStyle w:val="Hyperlink"/>
            <w:i/>
            <w:iCs/>
            <w:color w:val="auto"/>
            <w:u w:val="none"/>
          </w:rPr>
          <w:t>1059-1028</w:t>
        </w:r>
      </w:hyperlink>
      <w:r w:rsidRPr="00217C09">
        <w:rPr>
          <w:i/>
          <w:iCs/>
        </w:rPr>
        <w:t>. Retrieved 2019-09-13 – via www.wired.com.</w:t>
      </w:r>
    </w:p>
    <w:p w14:paraId="4671FC1A" w14:textId="77777777" w:rsidR="00217C09" w:rsidRDefault="00217C09" w:rsidP="00A766D6"/>
    <w:sectPr w:rsidR="0021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B625E"/>
    <w:multiLevelType w:val="multilevel"/>
    <w:tmpl w:val="18B6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C5C01"/>
    <w:multiLevelType w:val="multilevel"/>
    <w:tmpl w:val="9834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23078">
    <w:abstractNumId w:val="1"/>
  </w:num>
  <w:num w:numId="2" w16cid:durableId="135110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D6"/>
    <w:rsid w:val="0004106A"/>
    <w:rsid w:val="001D7CF5"/>
    <w:rsid w:val="00217C09"/>
    <w:rsid w:val="005C0F85"/>
    <w:rsid w:val="00924006"/>
    <w:rsid w:val="00A766D6"/>
    <w:rsid w:val="00D4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2918"/>
  <w15:chartTrackingRefBased/>
  <w15:docId w15:val="{1CBF2922-EEF7-41EF-BB8C-604EA43E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D6"/>
  </w:style>
  <w:style w:type="paragraph" w:styleId="Heading1">
    <w:name w:val="heading 1"/>
    <w:basedOn w:val="Normal"/>
    <w:next w:val="Normal"/>
    <w:link w:val="Heading1Char"/>
    <w:uiPriority w:val="9"/>
    <w:qFormat/>
    <w:rsid w:val="00A76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6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66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66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66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6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6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66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66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66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66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6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6D6"/>
    <w:rPr>
      <w:rFonts w:eastAsiaTheme="majorEastAsia" w:cstheme="majorBidi"/>
      <w:color w:val="272727" w:themeColor="text1" w:themeTint="D8"/>
    </w:rPr>
  </w:style>
  <w:style w:type="paragraph" w:styleId="Title">
    <w:name w:val="Title"/>
    <w:basedOn w:val="Normal"/>
    <w:next w:val="Normal"/>
    <w:link w:val="TitleChar"/>
    <w:uiPriority w:val="10"/>
    <w:qFormat/>
    <w:rsid w:val="00A76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6D6"/>
    <w:pPr>
      <w:spacing w:before="160"/>
      <w:jc w:val="center"/>
    </w:pPr>
    <w:rPr>
      <w:i/>
      <w:iCs/>
      <w:color w:val="404040" w:themeColor="text1" w:themeTint="BF"/>
    </w:rPr>
  </w:style>
  <w:style w:type="character" w:customStyle="1" w:styleId="QuoteChar">
    <w:name w:val="Quote Char"/>
    <w:basedOn w:val="DefaultParagraphFont"/>
    <w:link w:val="Quote"/>
    <w:uiPriority w:val="29"/>
    <w:rsid w:val="00A766D6"/>
    <w:rPr>
      <w:i/>
      <w:iCs/>
      <w:color w:val="404040" w:themeColor="text1" w:themeTint="BF"/>
    </w:rPr>
  </w:style>
  <w:style w:type="paragraph" w:styleId="ListParagraph">
    <w:name w:val="List Paragraph"/>
    <w:basedOn w:val="Normal"/>
    <w:uiPriority w:val="34"/>
    <w:qFormat/>
    <w:rsid w:val="00A766D6"/>
    <w:pPr>
      <w:ind w:left="720"/>
      <w:contextualSpacing/>
    </w:pPr>
  </w:style>
  <w:style w:type="character" w:styleId="IntenseEmphasis">
    <w:name w:val="Intense Emphasis"/>
    <w:basedOn w:val="DefaultParagraphFont"/>
    <w:uiPriority w:val="21"/>
    <w:qFormat/>
    <w:rsid w:val="00A766D6"/>
    <w:rPr>
      <w:i/>
      <w:iCs/>
      <w:color w:val="2F5496" w:themeColor="accent1" w:themeShade="BF"/>
    </w:rPr>
  </w:style>
  <w:style w:type="paragraph" w:styleId="IntenseQuote">
    <w:name w:val="Intense Quote"/>
    <w:basedOn w:val="Normal"/>
    <w:next w:val="Normal"/>
    <w:link w:val="IntenseQuoteChar"/>
    <w:uiPriority w:val="30"/>
    <w:qFormat/>
    <w:rsid w:val="00A76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66D6"/>
    <w:rPr>
      <w:i/>
      <w:iCs/>
      <w:color w:val="2F5496" w:themeColor="accent1" w:themeShade="BF"/>
    </w:rPr>
  </w:style>
  <w:style w:type="character" w:styleId="IntenseReference">
    <w:name w:val="Intense Reference"/>
    <w:basedOn w:val="DefaultParagraphFont"/>
    <w:uiPriority w:val="32"/>
    <w:qFormat/>
    <w:rsid w:val="00A766D6"/>
    <w:rPr>
      <w:b/>
      <w:bCs/>
      <w:smallCaps/>
      <w:color w:val="2F5496" w:themeColor="accent1" w:themeShade="BF"/>
      <w:spacing w:val="5"/>
    </w:rPr>
  </w:style>
  <w:style w:type="paragraph" w:customStyle="1" w:styleId="svelte-1sntxl4">
    <w:name w:val="svelte-1sntxl4"/>
    <w:basedOn w:val="Normal"/>
    <w:rsid w:val="00A766D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velte-1sntxl41">
    <w:name w:val="svelte-1sntxl41"/>
    <w:basedOn w:val="DefaultParagraphFont"/>
    <w:rsid w:val="00A766D6"/>
  </w:style>
  <w:style w:type="character" w:customStyle="1" w:styleId="inline-refs">
    <w:name w:val="inline-refs"/>
    <w:basedOn w:val="DefaultParagraphFont"/>
    <w:rsid w:val="00A766D6"/>
  </w:style>
  <w:style w:type="character" w:styleId="Hyperlink">
    <w:name w:val="Hyperlink"/>
    <w:basedOn w:val="DefaultParagraphFont"/>
    <w:uiPriority w:val="99"/>
    <w:unhideWhenUsed/>
    <w:rsid w:val="00D412B2"/>
    <w:rPr>
      <w:color w:val="0563C1" w:themeColor="hyperlink"/>
      <w:u w:val="single"/>
    </w:rPr>
  </w:style>
  <w:style w:type="character" w:styleId="UnresolvedMention">
    <w:name w:val="Unresolved Mention"/>
    <w:basedOn w:val="DefaultParagraphFont"/>
    <w:uiPriority w:val="99"/>
    <w:semiHidden/>
    <w:unhideWhenUsed/>
    <w:rsid w:val="00D41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089446">
      <w:bodyDiv w:val="1"/>
      <w:marLeft w:val="0"/>
      <w:marRight w:val="0"/>
      <w:marTop w:val="0"/>
      <w:marBottom w:val="0"/>
      <w:divBdr>
        <w:top w:val="none" w:sz="0" w:space="0" w:color="auto"/>
        <w:left w:val="none" w:sz="0" w:space="0" w:color="auto"/>
        <w:bottom w:val="none" w:sz="0" w:space="0" w:color="auto"/>
        <w:right w:val="none" w:sz="0" w:space="0" w:color="auto"/>
      </w:divBdr>
    </w:div>
    <w:div w:id="663240775">
      <w:bodyDiv w:val="1"/>
      <w:marLeft w:val="0"/>
      <w:marRight w:val="0"/>
      <w:marTop w:val="0"/>
      <w:marBottom w:val="0"/>
      <w:divBdr>
        <w:top w:val="none" w:sz="0" w:space="0" w:color="auto"/>
        <w:left w:val="none" w:sz="0" w:space="0" w:color="auto"/>
        <w:bottom w:val="none" w:sz="0" w:space="0" w:color="auto"/>
        <w:right w:val="none" w:sz="0" w:space="0" w:color="auto"/>
      </w:divBdr>
    </w:div>
    <w:div w:id="740830218">
      <w:bodyDiv w:val="1"/>
      <w:marLeft w:val="0"/>
      <w:marRight w:val="0"/>
      <w:marTop w:val="0"/>
      <w:marBottom w:val="0"/>
      <w:divBdr>
        <w:top w:val="none" w:sz="0" w:space="0" w:color="auto"/>
        <w:left w:val="none" w:sz="0" w:space="0" w:color="auto"/>
        <w:bottom w:val="none" w:sz="0" w:space="0" w:color="auto"/>
        <w:right w:val="none" w:sz="0" w:space="0" w:color="auto"/>
      </w:divBdr>
    </w:div>
    <w:div w:id="752509247">
      <w:bodyDiv w:val="1"/>
      <w:marLeft w:val="0"/>
      <w:marRight w:val="0"/>
      <w:marTop w:val="0"/>
      <w:marBottom w:val="0"/>
      <w:divBdr>
        <w:top w:val="none" w:sz="0" w:space="0" w:color="auto"/>
        <w:left w:val="none" w:sz="0" w:space="0" w:color="auto"/>
        <w:bottom w:val="none" w:sz="0" w:space="0" w:color="auto"/>
        <w:right w:val="none" w:sz="0" w:space="0" w:color="auto"/>
      </w:divBdr>
    </w:div>
    <w:div w:id="913130403">
      <w:bodyDiv w:val="1"/>
      <w:marLeft w:val="0"/>
      <w:marRight w:val="0"/>
      <w:marTop w:val="0"/>
      <w:marBottom w:val="0"/>
      <w:divBdr>
        <w:top w:val="none" w:sz="0" w:space="0" w:color="auto"/>
        <w:left w:val="none" w:sz="0" w:space="0" w:color="auto"/>
        <w:bottom w:val="none" w:sz="0" w:space="0" w:color="auto"/>
        <w:right w:val="none" w:sz="0" w:space="0" w:color="auto"/>
      </w:divBdr>
    </w:div>
    <w:div w:id="980188657">
      <w:bodyDiv w:val="1"/>
      <w:marLeft w:val="0"/>
      <w:marRight w:val="0"/>
      <w:marTop w:val="0"/>
      <w:marBottom w:val="0"/>
      <w:divBdr>
        <w:top w:val="none" w:sz="0" w:space="0" w:color="auto"/>
        <w:left w:val="none" w:sz="0" w:space="0" w:color="auto"/>
        <w:bottom w:val="none" w:sz="0" w:space="0" w:color="auto"/>
        <w:right w:val="none" w:sz="0" w:space="0" w:color="auto"/>
      </w:divBdr>
    </w:div>
    <w:div w:id="1183084134">
      <w:bodyDiv w:val="1"/>
      <w:marLeft w:val="0"/>
      <w:marRight w:val="0"/>
      <w:marTop w:val="0"/>
      <w:marBottom w:val="0"/>
      <w:divBdr>
        <w:top w:val="none" w:sz="0" w:space="0" w:color="auto"/>
        <w:left w:val="none" w:sz="0" w:space="0" w:color="auto"/>
        <w:bottom w:val="none" w:sz="0" w:space="0" w:color="auto"/>
        <w:right w:val="none" w:sz="0" w:space="0" w:color="auto"/>
      </w:divBdr>
    </w:div>
    <w:div w:id="1301885632">
      <w:bodyDiv w:val="1"/>
      <w:marLeft w:val="0"/>
      <w:marRight w:val="0"/>
      <w:marTop w:val="0"/>
      <w:marBottom w:val="0"/>
      <w:divBdr>
        <w:top w:val="none" w:sz="0" w:space="0" w:color="auto"/>
        <w:left w:val="none" w:sz="0" w:space="0" w:color="auto"/>
        <w:bottom w:val="none" w:sz="0" w:space="0" w:color="auto"/>
        <w:right w:val="none" w:sz="0" w:space="0" w:color="auto"/>
      </w:divBdr>
    </w:div>
    <w:div w:id="1379089824">
      <w:bodyDiv w:val="1"/>
      <w:marLeft w:val="0"/>
      <w:marRight w:val="0"/>
      <w:marTop w:val="0"/>
      <w:marBottom w:val="0"/>
      <w:divBdr>
        <w:top w:val="none" w:sz="0" w:space="0" w:color="auto"/>
        <w:left w:val="none" w:sz="0" w:space="0" w:color="auto"/>
        <w:bottom w:val="none" w:sz="0" w:space="0" w:color="auto"/>
        <w:right w:val="none" w:sz="0" w:space="0" w:color="auto"/>
      </w:divBdr>
    </w:div>
    <w:div w:id="1722171502">
      <w:bodyDiv w:val="1"/>
      <w:marLeft w:val="0"/>
      <w:marRight w:val="0"/>
      <w:marTop w:val="0"/>
      <w:marBottom w:val="0"/>
      <w:divBdr>
        <w:top w:val="none" w:sz="0" w:space="0" w:color="auto"/>
        <w:left w:val="none" w:sz="0" w:space="0" w:color="auto"/>
        <w:bottom w:val="none" w:sz="0" w:space="0" w:color="auto"/>
        <w:right w:val="none" w:sz="0" w:space="0" w:color="auto"/>
      </w:divBdr>
    </w:div>
    <w:div w:id="1838614353">
      <w:bodyDiv w:val="1"/>
      <w:marLeft w:val="0"/>
      <w:marRight w:val="0"/>
      <w:marTop w:val="0"/>
      <w:marBottom w:val="0"/>
      <w:divBdr>
        <w:top w:val="none" w:sz="0" w:space="0" w:color="auto"/>
        <w:left w:val="none" w:sz="0" w:space="0" w:color="auto"/>
        <w:bottom w:val="none" w:sz="0" w:space="0" w:color="auto"/>
        <w:right w:val="none" w:sz="0" w:space="0" w:color="auto"/>
      </w:divBdr>
    </w:div>
    <w:div w:id="2131049802">
      <w:bodyDiv w:val="1"/>
      <w:marLeft w:val="0"/>
      <w:marRight w:val="0"/>
      <w:marTop w:val="0"/>
      <w:marBottom w:val="0"/>
      <w:divBdr>
        <w:top w:val="none" w:sz="0" w:space="0" w:color="auto"/>
        <w:left w:val="none" w:sz="0" w:space="0" w:color="auto"/>
        <w:bottom w:val="none" w:sz="0" w:space="0" w:color="auto"/>
        <w:right w:val="none" w:sz="0" w:space="0" w:color="auto"/>
      </w:divBdr>
      <w:divsChild>
        <w:div w:id="1437940737">
          <w:marLeft w:val="0"/>
          <w:marRight w:val="0"/>
          <w:marTop w:val="0"/>
          <w:marBottom w:val="0"/>
          <w:divBdr>
            <w:top w:val="none" w:sz="0" w:space="0" w:color="auto"/>
            <w:left w:val="none" w:sz="0" w:space="0" w:color="auto"/>
            <w:bottom w:val="none" w:sz="0" w:space="0" w:color="auto"/>
            <w:right w:val="none" w:sz="0" w:space="0" w:color="auto"/>
          </w:divBdr>
        </w:div>
        <w:div w:id="209149345">
          <w:marLeft w:val="0"/>
          <w:marRight w:val="0"/>
          <w:marTop w:val="0"/>
          <w:marBottom w:val="0"/>
          <w:divBdr>
            <w:top w:val="none" w:sz="0" w:space="0" w:color="auto"/>
            <w:left w:val="none" w:sz="0" w:space="0" w:color="auto"/>
            <w:bottom w:val="none" w:sz="0" w:space="0" w:color="auto"/>
            <w:right w:val="none" w:sz="0" w:space="0" w:color="auto"/>
          </w:divBdr>
          <w:divsChild>
            <w:div w:id="144973695">
              <w:marLeft w:val="0"/>
              <w:marRight w:val="0"/>
              <w:marTop w:val="0"/>
              <w:marBottom w:val="0"/>
              <w:divBdr>
                <w:top w:val="none" w:sz="0" w:space="0" w:color="auto"/>
                <w:left w:val="none" w:sz="0" w:space="0" w:color="auto"/>
                <w:bottom w:val="none" w:sz="0" w:space="0" w:color="auto"/>
                <w:right w:val="none" w:sz="0" w:space="0" w:color="auto"/>
              </w:divBdr>
            </w:div>
            <w:div w:id="76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48">
      <w:bodyDiv w:val="1"/>
      <w:marLeft w:val="0"/>
      <w:marRight w:val="0"/>
      <w:marTop w:val="0"/>
      <w:marBottom w:val="0"/>
      <w:divBdr>
        <w:top w:val="none" w:sz="0" w:space="0" w:color="auto"/>
        <w:left w:val="none" w:sz="0" w:space="0" w:color="auto"/>
        <w:bottom w:val="none" w:sz="0" w:space="0" w:color="auto"/>
        <w:right w:val="none" w:sz="0" w:space="0" w:color="auto"/>
      </w:divBdr>
      <w:divsChild>
        <w:div w:id="12607792">
          <w:marLeft w:val="0"/>
          <w:marRight w:val="0"/>
          <w:marTop w:val="0"/>
          <w:marBottom w:val="0"/>
          <w:divBdr>
            <w:top w:val="none" w:sz="0" w:space="0" w:color="auto"/>
            <w:left w:val="none" w:sz="0" w:space="0" w:color="auto"/>
            <w:bottom w:val="none" w:sz="0" w:space="0" w:color="auto"/>
            <w:right w:val="none" w:sz="0" w:space="0" w:color="auto"/>
          </w:divBdr>
        </w:div>
        <w:div w:id="1921209220">
          <w:marLeft w:val="0"/>
          <w:marRight w:val="0"/>
          <w:marTop w:val="0"/>
          <w:marBottom w:val="0"/>
          <w:divBdr>
            <w:top w:val="none" w:sz="0" w:space="0" w:color="auto"/>
            <w:left w:val="none" w:sz="0" w:space="0" w:color="auto"/>
            <w:bottom w:val="none" w:sz="0" w:space="0" w:color="auto"/>
            <w:right w:val="none" w:sz="0" w:space="0" w:color="auto"/>
          </w:divBdr>
          <w:divsChild>
            <w:div w:id="1121075255">
              <w:marLeft w:val="0"/>
              <w:marRight w:val="0"/>
              <w:marTop w:val="0"/>
              <w:marBottom w:val="0"/>
              <w:divBdr>
                <w:top w:val="none" w:sz="0" w:space="0" w:color="auto"/>
                <w:left w:val="none" w:sz="0" w:space="0" w:color="auto"/>
                <w:bottom w:val="none" w:sz="0" w:space="0" w:color="auto"/>
                <w:right w:val="none" w:sz="0" w:space="0" w:color="auto"/>
              </w:divBdr>
            </w:div>
            <w:div w:id="57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2016_United_States_elections" TargetMode="External"/><Relationship Id="rId18" Type="http://schemas.openxmlformats.org/officeDocument/2006/relationships/hyperlink" Target="https://en.wikipedia.org/wiki/Personal_data" TargetMode="External"/><Relationship Id="rId26" Type="http://schemas.openxmlformats.org/officeDocument/2006/relationships/hyperlink" Target="https://en.wikipedia.org/wiki/United_States_Congress" TargetMode="External"/><Relationship Id="rId3" Type="http://schemas.openxmlformats.org/officeDocument/2006/relationships/settings" Target="settings.xml"/><Relationship Id="rId21" Type="http://schemas.openxmlformats.org/officeDocument/2006/relationships/hyperlink" Target="https://en.wikipedia.org/wiki/Vice_(magazine)" TargetMode="External"/><Relationship Id="rId34" Type="http://schemas.openxmlformats.org/officeDocument/2006/relationships/fontTable" Target="fontTable.xml"/><Relationship Id="rId7" Type="http://schemas.openxmlformats.org/officeDocument/2006/relationships/hyperlink" Target="https://en.wikipedia.org/wiki/Parsons_School_of_Design" TargetMode="External"/><Relationship Id="rId12" Type="http://schemas.openxmlformats.org/officeDocument/2006/relationships/hyperlink" Target="https://en.wikipedia.org/wiki/Brexit" TargetMode="External"/><Relationship Id="rId17" Type="http://schemas.openxmlformats.org/officeDocument/2006/relationships/hyperlink" Target="https://en.wikipedia.org/wiki/Brexit" TargetMode="External"/><Relationship Id="rId25" Type="http://schemas.openxmlformats.org/officeDocument/2006/relationships/hyperlink" Target="https://en.wikipedia.org/wiki/Mark_Zuckerberg" TargetMode="External"/><Relationship Id="rId33" Type="http://schemas.openxmlformats.org/officeDocument/2006/relationships/hyperlink" Target="https://search.worldcat.org/issn/1059-1028" TargetMode="External"/><Relationship Id="rId2" Type="http://schemas.openxmlformats.org/officeDocument/2006/relationships/styles" Target="styles.xml"/><Relationship Id="rId16" Type="http://schemas.openxmlformats.org/officeDocument/2006/relationships/hyperlink" Target="https://en.wikipedia.org/wiki/Ted_Cruz%27s_presidential_campaign" TargetMode="External"/><Relationship Id="rId20" Type="http://schemas.openxmlformats.org/officeDocument/2006/relationships/hyperlink" Target="https://en.wikipedia.org/wiki/Ted_Cruz" TargetMode="External"/><Relationship Id="rId29" Type="http://schemas.openxmlformats.org/officeDocument/2006/relationships/hyperlink" Target="https://www.theverge.com/2019/1/30/18200049/the-great-hack-cambridge-analytica-netflix-documentary-film-review-sundance-2019"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Carole_Cadwalladr" TargetMode="External"/><Relationship Id="rId24" Type="http://schemas.openxmlformats.org/officeDocument/2006/relationships/hyperlink" Target="https://en.wikipedia.org/wiki/Ted_Cruz" TargetMode="External"/><Relationship Id="rId32" Type="http://schemas.openxmlformats.org/officeDocument/2006/relationships/hyperlink" Target="http://ISSN" TargetMode="External"/><Relationship Id="rId5" Type="http://schemas.openxmlformats.org/officeDocument/2006/relationships/hyperlink" Target="https://en.wikipedia.org/wiki/File:The_Great_Hack_poster.jpg" TargetMode="External"/><Relationship Id="rId15" Type="http://schemas.openxmlformats.org/officeDocument/2006/relationships/hyperlink" Target="https://en.wikipedia.org/wiki/Political_consulting" TargetMode="External"/><Relationship Id="rId23" Type="http://schemas.openxmlformats.org/officeDocument/2006/relationships/hyperlink" Target="https://en.wikipedia.org/wiki/The_Intercept" TargetMode="External"/><Relationship Id="rId28" Type="http://schemas.openxmlformats.org/officeDocument/2006/relationships/image" Target="media/image2.png"/><Relationship Id="rId10" Type="http://schemas.openxmlformats.org/officeDocument/2006/relationships/hyperlink" Target="https://en.wikipedia.org/wiki/Cambridge_Analytica" TargetMode="External"/><Relationship Id="rId19" Type="http://schemas.openxmlformats.org/officeDocument/2006/relationships/hyperlink" Target="https://en.wikipedia.org/wiki/The_Guardian" TargetMode="External"/><Relationship Id="rId31" Type="http://schemas.openxmlformats.org/officeDocument/2006/relationships/hyperlink" Target="https://www.wired.com/story/the-great-hack-documentary/" TargetMode="External"/><Relationship Id="rId4" Type="http://schemas.openxmlformats.org/officeDocument/2006/relationships/webSettings" Target="webSettings.xml"/><Relationship Id="rId9" Type="http://schemas.openxmlformats.org/officeDocument/2006/relationships/hyperlink" Target="https://en.wikipedia.org/wiki/Brittany_Kaiser" TargetMode="External"/><Relationship Id="rId14" Type="http://schemas.openxmlformats.org/officeDocument/2006/relationships/hyperlink" Target="https://en.wikipedia.org/wiki/Psychological_operations" TargetMode="External"/><Relationship Id="rId22" Type="http://schemas.openxmlformats.org/officeDocument/2006/relationships/hyperlink" Target="https://en.wikipedia.org/wiki/Carole_Cadwalladr" TargetMode="External"/><Relationship Id="rId27" Type="http://schemas.openxmlformats.org/officeDocument/2006/relationships/hyperlink" Target="https://eccu.edu/blog/cybersecurity/fundamentals-of-information-security" TargetMode="External"/><Relationship Id="rId30" Type="http://schemas.openxmlformats.org/officeDocument/2006/relationships/hyperlink" Target="https://decider.com/2019/07/24/the-great-hack-netflix-stream-it-or-skip-it/" TargetMode="External"/><Relationship Id="rId35" Type="http://schemas.openxmlformats.org/officeDocument/2006/relationships/theme" Target="theme/theme1.xml"/><Relationship Id="rId8" Type="http://schemas.openxmlformats.org/officeDocument/2006/relationships/hyperlink" Target="https://en.wikipedia.org/wiki/The_New_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2025-06-17T09:44:00Z</dcterms:created>
  <dcterms:modified xsi:type="dcterms:W3CDTF">2025-06-17T10:35:00Z</dcterms:modified>
</cp:coreProperties>
</file>