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200"/>
        <w:jc w:val="center"/>
      </w:pPr>
      <w:r>
        <w:rPr>
          <w:b/>
          <w:bCs/>
          <w:sz w:val="44"/>
          <w:szCs w:val="44"/>
        </w:rPr>
        <w:t xml:space="preserve">Analyzing Customer Behavior for E-commerce Insights</w:t>
      </w:r>
    </w:p>
    <w:p>
      <w:pPr>
        <w:spacing w:after="400"/>
        <w:jc w:val="center"/>
      </w:pPr>
      <w:r>
        <w:rPr>
          <w:color w:val="444444"/>
          <w:sz w:val="30"/>
          <w:szCs w:val="30"/>
        </w:rPr>
        <w:t xml:space="preserve">National Service Assessment Report</w:t>
      </w:r>
    </w:p>
    <w:p>
      <w:pPr>
        <w:spacing w:after="100"/>
        <w:jc w:val="center"/>
      </w:pPr>
      <w:r>
        <w:rPr>
          <w:sz w:val="24"/>
          <w:szCs w:val="24"/>
        </w:rPr>
        <w:t xml:space="preserve">Prepared for: Npontu Technologies — Intelligent Systems Services Engineer role</w:t>
      </w:r>
    </w:p>
    <w:p>
      <w:pPr>
        <w:spacing w:after="100"/>
        <w:jc w:val="center"/>
      </w:pPr>
      <w:r>
        <w:rPr>
          <w:sz w:val="24"/>
          <w:szCs w:val="24"/>
        </w:rPr>
        <w:t xml:space="preserve">Prepared by: Lemuel</w:t>
      </w:r>
    </w:p>
    <w:p>
      <w:pPr>
        <w:spacing w:after="600"/>
        <w:jc w:val="center"/>
      </w:pPr>
      <w:r>
        <w:rPr>
          <w:i/>
          <w:iCs/>
          <w:sz w:val="22"/>
          <w:szCs w:val="22"/>
        </w:rPr>
        <w:t xml:space="preserve">University of Mines and Technology (UMaT), Tarkwa — BSc. Information Systems and Technology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Executive Summary</w:t>
      </w:r>
    </w:p>
    <w:p>
      <w:pPr>
        <w:spacing w:after="150"/>
      </w:pPr>
      <w:r>
        <w:t xml:space="preserve">This report documents the end-to-end analysis of a synthetic e-commerce customer activity dataset, produced to satisfy the Npontu Technologies assessment brief. The work covers exploratory data analysis, data cleaning, big-data-scale processing with Apache Spark, feature engineering, a predictive product-recommendation model validated with cross-validation, and business recommendations derived from the results. The full, runnable code is provided separately as a Jupyter notebook (Npontu_Ecommerce_Analysis.ipynb); this report summarizes the methodology, results, and business implications for a non-technical reader.</w:t>
      </w:r>
    </w:p>
    <w:p>
      <w:pPr>
        <w:spacing w:after="150"/>
      </w:pPr>
      <w:r>
        <w:rPr>
          <w:b/>
          <w:bCs/>
        </w:rPr>
        <w:t xml:space="preserve">Headline findings: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Electronics generated the highest total revenue (₵946,363) despite fewer purchases than Beauty, driven by high average order value (₵1,637).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Per-category purchase-prediction models achieved strong performance (ROC-AUC up to 0.98) using only browsing behavior and demographics — signals available before a purchase happens.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Browsing activity in a category is overwhelmingly the strongest predictor of purchase in that same category, confirming that intent signals in clickstream data are usable for real-time personalization.</w:t>
      </w:r>
    </w:p>
    <w:p>
      <w:pPr>
        <w:pStyle w:val="Heading1"/>
        <w:spacing w:after="150" w:before="300"/>
      </w:pPr>
      <w:r>
        <w:t xml:space="preserve">2. Introduction &amp; Objective</w:t>
      </w:r>
    </w:p>
    <w:p>
      <w:pPr>
        <w:spacing w:after="150"/>
      </w:pPr>
      <w:r>
        <w:t xml:space="preserve">Npontu Technologies' assessment brief asked for an analysis of customer activity on an e-commerce platform to extract insights that could help a business improve sales, enhance customer engagement, and personalize the shopping experience. Because no real dataset was supplied, a synthetic dataset simulating customer demographics, browsing behavior, purchase history, and product interactions was generated first, then analyzed using the same methodology that would apply to real operational data.</w:t>
      </w:r>
    </w:p>
    <w:p>
      <w:pPr>
        <w:spacing w:after="150"/>
      </w:pPr>
      <w:r>
        <w:t xml:space="preserve">The assignment's six requirement areas are addressed in turn: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analysis (EDA and cleaning)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Feature engineering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Predictive modeling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Big data tool utilization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Insight and visualization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Documentation and presentation (this report + the notebook)</w:t>
      </w:r>
    </w:p>
    <w:p>
      <w:pPr>
        <w:pStyle w:val="Heading1"/>
        <w:spacing w:after="150" w:before="300"/>
      </w:pPr>
      <w:r>
        <w:t xml:space="preserve">3. Data Generation &amp; Methodology</w:t>
      </w:r>
    </w:p>
    <w:p>
      <w:pPr>
        <w:spacing w:after="150"/>
      </w:pPr>
      <w:r>
        <w:t xml:space="preserve">Three related tables were generated: customers (2,040 rows), products (300 rows), and interactions (60,900 rows of view/add-to-cart/purchase events). To make the exercise realistic, deliberate data quality problems were injected — missing values, duplicate rows, an invalid event type, and sign errors in age and price — mirroring the kind of problems found in real event logs. Customers were also given a randomized affinity toward one or two product categories, and products were given a Zipf-like popularity distribution, so that behavioral patterns in the data are realistic rather than uniform noise, giving the predictive model genuine signal to learn from.</w:t>
      </w:r>
    </w:p>
    <w:p>
      <w:pPr>
        <w:pStyle w:val="Heading1"/>
        <w:spacing w:after="150" w:before="300"/>
      </w:pPr>
      <w:r>
        <w:t xml:space="preserve">4. Exploratory Data Analysis</w:t>
      </w:r>
    </w:p>
    <w:p>
      <w:pPr>
        <w:spacing w:after="150"/>
      </w:pPr>
      <w:r>
        <w:t xml:space="preserve">Before any cleaning, the raw data was inspected for structure, missing values, duplicates, and invalid entries.</w:t>
      </w:r>
    </w:p>
    <w:p>
      <w:pPr>
        <w:spacing w:after="60" w:before="150"/>
        <w:jc w:val="center"/>
      </w:pPr>
      <w:r>
        <w:drawing>
          <wp:inline distT="0" distB="0" distL="0" distR="0">
            <wp:extent cx="5334000" cy="1733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Figure 1. Raw age distribution and event-type counts before cleaning.</w:t>
      </w:r>
    </w:p>
    <w:p>
      <w:pPr>
        <w:spacing w:after="150"/>
      </w:pPr>
      <w:r>
        <w:rPr>
          <w:b/>
          <w:bCs/>
        </w:rPr>
        <w:t xml:space="preserve">Key data quality issues identified: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5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5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Missing age / gender / region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61 rows each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Duplicate rows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 rows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Invalid age (≤ 0)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 rows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Negative price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 rows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Missing device / channel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interactions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1,220 rows each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Duplicate rows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interactions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900 rows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Invalid event type ('unknown_event')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interactions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303 rows</w:t>
            </w:r>
          </w:p>
        </w:tc>
      </w:tr>
    </w:tbl>
    <w:p>
      <w:pPr>
        <w:pStyle w:val="Heading1"/>
        <w:spacing w:after="150" w:before="300"/>
      </w:pPr>
      <w:r>
        <w:t xml:space="preserve">5. Data Cleaning</w:t>
      </w:r>
    </w:p>
    <w:p>
      <w:pPr>
        <w:spacing w:after="150"/>
      </w:pPr>
      <w:r>
        <w:t xml:space="preserve">Each issue was resolved with a decision suited to that specific problem, rather than a single blanket rule: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Duplicate rows were dropped from all three tables.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Missing categorical values (gender, region, device, channel) were filled with 'Unknown' rather than dropped, to preserve otherwise-valid records.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Invalid ages (≤ 0) were replaced with the median customer age.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Negative prices were corrected by taking the absolute value (the most plausible real-world cause is a sign error at ingestion).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Rows with the invalid event type were dropped, since the true event could not be safely inferred.</w:t>
      </w:r>
    </w:p>
    <w:p>
      <w:pPr>
        <w:spacing w:after="150"/>
      </w:pPr>
      <w:r>
        <w:rPr>
          <w:b/>
          <w:bCs/>
        </w:rPr>
        <w:t xml:space="preserve">Resulting table sizes after cleaning: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0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35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After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2,040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2,000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300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300 (6 prices corrected)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interactions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60,900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59,700</w:t>
            </w:r>
          </w:p>
        </w:tc>
      </w:tr>
    </w:tbl>
    <w:p>
      <w:pPr>
        <w:pStyle w:val="Heading1"/>
        <w:spacing w:after="150" w:before="300"/>
      </w:pPr>
      <w:r>
        <w:t xml:space="preserve">6. Big Data Tool: Apache Spark (PySpark)</w:t>
      </w:r>
    </w:p>
    <w:p>
      <w:pPr>
        <w:spacing w:after="150"/>
      </w:pPr>
      <w:r>
        <w:t xml:space="preserve">Apache Spark was selected as the big data tool for this assignment, over Kafka and Elasticsearch, because the task at hand is batch processing of a large, already-collected event table — Spark's core strength. Kafka is an event-streaming platform suited to live clickstream ingestion, which this static dataset is not; Elasticsearch is a search/indexing engine suited to fast text search or live dashboards. Spark's distributed DataFrame API partitions and aggregates data in parallel, and the same code scales from the ~60,000 rows used here to a real production volume without being rewritten.</w:t>
      </w:r>
    </w:p>
    <w:p>
      <w:pPr>
        <w:spacing w:after="150"/>
      </w:pPr>
      <w:r>
        <w:t xml:space="preserve">In a full production deployment, these tools would typically work together: Kafka streaming raw events, Spark processing them (in batch or via Structured Streaming), and Elasticsearch/Grafana powering search and live dashboards on the results.</w:t>
      </w:r>
    </w:p>
    <w:p>
      <w:pPr>
        <w:spacing w:after="150"/>
      </w:pPr>
      <w:r>
        <w:t xml:space="preserve">Spark was used to compute revenue and purchase-volume aggregations directly on the cleaned interaction data: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8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3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26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Revenue (₵)</w:t>
            </w:r>
          </w:p>
        </w:tc>
        <w:tc>
          <w:tcPr>
            <w:tcW w:type="dxa" w:w="28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Avg. Order Value (₵)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Electronics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578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946,363.43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1,637.31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Beauty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1,959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112,069.66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57.21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Home &amp; Kitchen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529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191,479.90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361.97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Sports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552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180,619.05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327.21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Fashion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616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135,209.48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219.50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Toys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494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79,358.44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160.64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Groceries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782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35,626.03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45.56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Books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471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33,365.64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70.84</w:t>
            </w:r>
          </w:p>
        </w:tc>
      </w:tr>
    </w:tbl>
    <w:p>
      <w:pPr>
        <w:pStyle w:val="Heading1"/>
        <w:spacing w:after="150" w:before="300"/>
      </w:pPr>
      <w:r>
        <w:t xml:space="preserve">7. Feature Engineering</w:t>
      </w:r>
    </w:p>
    <w:p>
      <w:pPr>
        <w:spacing w:after="150"/>
      </w:pPr>
      <w:r>
        <w:t xml:space="preserve">Three groups of features were built from the cleaned data to describe each customer: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Behavioral features: count of views/add-to-cart events per product category (browsing interest signals before a purchase).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Time-based features: recency (days since the customer's last interaction) and tenure (days since signup).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Demographic features: standardized age, and one-hot encoded membership tier.</w:t>
      </w:r>
    </w:p>
    <w:p>
      <w:pPr>
        <w:spacing w:after="150"/>
      </w:pPr>
      <w:r>
        <w:t xml:space="preserve">Purchase counts were deliberately excluded from the predictor set and used only as the prediction target — using browsing behavior (not purchase history) to predict purchase avoids the model simply learning 'did they buy' from 'did they buy', which would be useless for recommending before the fact.</w:t>
      </w:r>
    </w:p>
    <w:p>
      <w:pPr>
        <w:pStyle w:val="Heading1"/>
        <w:spacing w:after="150" w:before="300"/>
      </w:pPr>
      <w:r>
        <w:t xml:space="preserve">8. Predictive Modeling — Product Recommendation</w:t>
      </w:r>
    </w:p>
    <w:p>
      <w:pPr>
        <w:spacing w:after="150"/>
      </w:pPr>
      <w:r>
        <w:t xml:space="preserve">For each of the eight product categories, a Random Forest classifier was trained to predict the probability that a given customer will purchase from that category, using their browsing, recency/frequency, and demographic features. This decomposes 'recommend products to a customer' into eight well-understood binary classification problems, each independently and rigorously validated.</w:t>
      </w:r>
    </w:p>
    <w:p>
      <w:pPr>
        <w:spacing w:after="150"/>
      </w:pPr>
      <w:r>
        <w:t xml:space="preserve">To generate an actual recommendation for a customer, all eight category models are run and ranked by predicted probability; the best-selling not-yet-purchased products (from the Spark revenue aggregation) within the top-ranked categories are then surfaced.</w:t>
      </w:r>
    </w:p>
    <w:p>
      <w:pPr>
        <w:pStyle w:val="Heading2"/>
        <w:spacing w:after="120" w:before="250"/>
      </w:pPr>
      <w:r>
        <w:t xml:space="preserve">8.1 Cross-Validation Results (5-fold, stratified)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5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ROC-AUC</w:t>
            </w:r>
          </w:p>
        </w:tc>
        <w:tc>
          <w:tcPr>
            <w:tcW w:type="dxa" w:w="16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F1</w:t>
            </w:r>
          </w:p>
        </w:tc>
        <w:tc>
          <w:tcPr>
            <w:tcW w:type="dxa" w:w="18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18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Purchase rate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Home &amp; Kitchen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0.983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0.859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0.954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14.3%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Sports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0.981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0.871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0.959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14.5%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Toys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0.975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0.840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0.948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14.3%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Books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0.975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0.802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0.940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12.7%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Fashion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0.971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0.879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0.955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17.0%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Electronics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0.968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0.894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0.962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16.2%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Groceries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0.793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0.678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0.861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25.5%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Beauty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0.626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0.654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0.593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62.1%</w:t>
            </w:r>
          </w:p>
        </w:tc>
      </w:tr>
    </w:tbl>
    <w:p>
      <w:pPr>
        <w:spacing w:after="150"/>
      </w:pPr>
      <w:r>
        <w:t xml:space="preserve">Six of eight categories achieve ROC-AUC above 0.96, meaning browsing behavior and demographics alone separate likely buyers from non-buyers very well. Beauty and Groceries score lower — both have unusually high purchase rates (62% and 26% respectively), meaning most customers buy in these categories regardless of their browsing pattern, leaving the model less room to discriminate. This is a genuine, disclosed limitation rather than a modeling error.</w:t>
      </w:r>
    </w:p>
    <w:p>
      <w:pPr>
        <w:spacing w:after="60" w:before="150"/>
        <w:jc w:val="center"/>
      </w:pPr>
      <w:r>
        <w:drawing>
          <wp:inline distT="0" distB="0" distL="0" distR="0">
            <wp:extent cx="3810000" cy="2352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Figure 2. Cross-validated ROC-AUC by category.</w:t>
      </w:r>
    </w:p>
    <w:p>
      <w:pPr>
        <w:pStyle w:val="Heading2"/>
        <w:spacing w:after="120" w:before="250"/>
      </w:pPr>
      <w:r>
        <w:t xml:space="preserve">8.2 Detailed Validation — Home &amp; Kitchen (Best-Performing Category)</w:t>
      </w:r>
    </w:p>
    <w:p>
      <w:pPr>
        <w:spacing w:after="150"/>
      </w:pPr>
      <w:r>
        <w:t xml:space="preserve">On a held-out 25% test split, the Home &amp; Kitchen model achieved a test ROC-AUC of 0.984 and F1 of 0.853:</w:t>
      </w:r>
    </w:p>
    <w:p>
      <w:pPr>
        <w:spacing w:after="60" w:before="150"/>
        <w:jc w:val="center"/>
      </w:pPr>
      <w:r>
        <w:drawing>
          <wp:inline distT="0" distB="0" distL="0" distR="0">
            <wp:extent cx="333375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Figure 3. Confusion matrix — Home &amp; Kitchen category, held-out test set.</w:t>
      </w:r>
    </w:p>
    <w:p>
      <w:pPr>
        <w:spacing w:after="150"/>
      </w:pPr>
      <w:r>
        <w:t xml:space="preserve">Of 469 held-out customers, the model correctly identified 64 of 68 actual purchasers (only 4 missed) and correctly rejected 387 of 405 non-purchasers, with 18 false positives — a strong result for a recommendation use case, where a false positive (recommending a category the customer doesn't buy from) is a much lower-cost mistake than a false negative (missing a genuine buyer).</w:t>
      </w:r>
    </w:p>
    <w:p>
      <w:pPr>
        <w:pStyle w:val="Heading2"/>
        <w:spacing w:after="120" w:before="250"/>
      </w:pPr>
      <w:r>
        <w:t xml:space="preserve">8.3 Sample Output</w:t>
      </w:r>
    </w:p>
    <w:p>
      <w:pPr>
        <w:spacing w:after="150"/>
      </w:pPr>
      <w:r>
        <w:t xml:space="preserve">Example recommendation generated for one customer in the dataset: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2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9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 Score</w:t>
            </w:r>
          </w:p>
        </w:tc>
        <w:tc>
          <w:tcPr>
            <w:tcW w:type="dxa" w:w="19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Product ID</w:t>
            </w:r>
          </w:p>
        </w:tc>
        <w:tc>
          <w:tcPr>
            <w:tcW w:type="dxa" w:w="24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Brand</w:t>
            </w:r>
          </w:p>
        </w:tc>
        <w:tc>
          <w:tcPr>
            <w:tcW w:type="dxa" w:w="13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Price (₵)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Books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0.929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P0217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Wright Ltd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15.07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Books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0.929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P0144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Mccarthy, Evans and Mendez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49.63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Toys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0.809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P0182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Robertson-Ramirez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99.40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Beauty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0.475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P0213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Hernandez, Jenkins and Parks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26.36</w:t>
            </w:r>
          </w:p>
        </w:tc>
      </w:tr>
    </w:tbl>
    <w:p>
      <w:pPr>
        <w:pStyle w:val="Heading1"/>
        <w:spacing w:after="150" w:before="300"/>
      </w:pPr>
      <w:r>
        <w:t xml:space="preserve">9. Insights &amp; Visualization</w:t>
      </w:r>
    </w:p>
    <w:p>
      <w:pPr>
        <w:spacing w:after="60" w:before="150"/>
        <w:jc w:val="center"/>
      </w:pPr>
      <w:r>
        <w:drawing>
          <wp:inline distT="0" distB="0" distL="0" distR="0">
            <wp:extent cx="5334000" cy="2009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Figure 4. Total revenue by category (left) and by region (right).</w:t>
      </w:r>
    </w:p>
    <w:p>
      <w:pPr>
        <w:spacing w:after="60" w:before="150"/>
        <w:jc w:val="center"/>
      </w:pPr>
      <w:r>
        <w:drawing>
          <wp:inline distT="0" distB="0" distL="0" distR="0">
            <wp:extent cx="5334000" cy="1809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Figure 5. Customer age distribution after cleaning (left); interactions by device (right).</w:t>
      </w:r>
    </w:p>
    <w:p>
      <w:pPr>
        <w:spacing w:after="60" w:before="150"/>
        <w:jc w:val="center"/>
      </w:pPr>
      <w:r>
        <w:drawing>
          <wp:inline distT="0" distB="0" distL="0" distR="0">
            <wp:extent cx="4000500" cy="2686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Figure 6. Top features driving the Home &amp; Kitchen purchase-prediction model.</w:t>
      </w:r>
    </w:p>
    <w:p>
      <w:pPr>
        <w:spacing w:after="150"/>
      </w:pPr>
      <w:r>
        <w:rPr>
          <w:b/>
          <w:bCs/>
        </w:rPr>
        <w:t xml:space="preserve">Key insights: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Electronics drives the most revenue despite fewer purchases than Beauty — a small number of high-value orders matter more than order count.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Revenue is fairly evenly spread across regions, with Northern, Central and Ashanti leading — no single region dominates demand.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Interaction volume is nearly identical across mobile, desktop, and tablet — no single device dominates, so the shopping experience must be equally strong on all three.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customer's own browsing activity within a category is overwhelmingly the top predictor of purchase in that category (Figure 6), far ahead of demographics — confirming that real-time behavioral signals are the most valuable input for personalization.</w:t>
      </w:r>
    </w:p>
    <w:p>
      <w:pPr>
        <w:pStyle w:val="Heading1"/>
        <w:spacing w:after="150" w:before="300"/>
      </w:pPr>
      <w:r>
        <w:t xml:space="preserve">10. Business 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Personalize the homepage/app by predicted top category for each customer, using the recommendation approach in Section 8, to surface likely-relevant products earlier in the session.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Target high-browse, lower-conversion categories (e.g. Groceries) with promotions or bundling, since browsing interest already exists but isn't converting as strongly.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Maintain consistent UX investment across mobile, desktop, and tablet, since interaction volume is balanced across devices.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Introduce a recency-based win-back trigger (email/push) once a customer's days-since-last-interaction crosses a threshold, since recency was a meaningful predictive feature.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the regional revenue breakdown to prioritize logistics and regional marketing spend, since demand is broadly distributed rather than concentrated in one region.</w:t>
      </w:r>
    </w:p>
    <w:p>
      <w:pPr>
        <w:pStyle w:val="Heading1"/>
        <w:spacing w:after="150" w:before="300"/>
      </w:pPr>
      <w:r>
        <w:t xml:space="preserve">11. Limitations &amp; Conclusion</w:t>
      </w:r>
    </w:p>
    <w:p>
      <w:pPr>
        <w:spacing w:after="150"/>
      </w:pPr>
      <w:r>
        <w:t xml:space="preserve">This analysis uses synthetic data, so absolute figures will not transfer directly to a real business — the value delivered is the methodology and pipeline, which apply unchanged to real event data. Categories with naturally high or near-uniform purchase rates (Beauty, Groceries) are inherently harder for any model to discriminate, which was disclosed rather than hidden. Model performance would also benefit from richer real-world signals not present in synthetic data, such as actual product co-purchase patterns and seasonal effects.</w:t>
      </w:r>
    </w:p>
    <w:p>
      <w:pPr>
        <w:spacing w:after="150"/>
      </w:pPr>
      <w:r>
        <w:t xml:space="preserve">In summary, the assignment's full pipeline — synthetic data generation, EDA, cleaning, Spark-based big-data processing, feature engineering, cross-validated predictive modeling, and actionable business insight — was implemented, validated, and documented, with all code available for review and re-execution in the accompanying Jupyter notebook (Npontu_Ecommerce_Analysis.ipynb).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4b9709a5beb0683e98387f0ad019ad9adc9777e.png"/><Relationship Id="rId8" Type="http://schemas.openxmlformats.org/officeDocument/2006/relationships/image" Target="media/b4222852a5ed9c6f5a0bc7f6ac2ab906d8b4ec65.png"/><Relationship Id="rId9" Type="http://schemas.openxmlformats.org/officeDocument/2006/relationships/image" Target="media/1f91d9f38cf403bd16ec5e87769e5048b6878e61.png"/><Relationship Id="rId10" Type="http://schemas.openxmlformats.org/officeDocument/2006/relationships/image" Target="media/c7f3f34ade31643a3d90341380e6df3b181d6baa.png"/><Relationship Id="rId11" Type="http://schemas.openxmlformats.org/officeDocument/2006/relationships/image" Target="media/411d0f42e7877310a1a80fb58249cb6254ac747b.png"/><Relationship Id="rId12" Type="http://schemas.openxmlformats.org/officeDocument/2006/relationships/image" Target="media/1cce3aeee5c4c944c8c4ea7e813a8f266bad1d14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2026-09-16T04:46:31.524Z</dcterms:created>
  <dcterms:modified xsi:type="dcterms:W3CDTF">2026-09-16T04:46:31.533Z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