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ԵԶՐԱԿԱՑՈՒԹՅՈՒՆ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ԵՊՀ-ում գործող ԲԿԳԿ-ի թիվ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050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«Մաթեմատիկա» մասնագիտական խորհրդի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Լևոն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Նոր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այրի Մուրադյանի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«Գրաֆների միջակայքային կող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ային ներկումների մասին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" w:firstLine="0"/>
        <w:jc w:val="center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թեմայով ատենախոսության վերաբերյալ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Ատենախոսությունը նվիրված է գրաֆների միջակայքային կողային ներկումների հետազոտմանը: Աշխատանքում ուսումնասիրվել են գրաֆների միջակայքային կողային ներկումներ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ի 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գոյության, կառուցման և թվային պարամետրերի գնահատման խնդիրները: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Ատենախոսությունում ստացվել են հետևյալ հիմնական արդյունքները.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ստացված են միջակայքային ներկումներ ունեցող գրաֆների </w:t>
      </w:r>
      <m:oMath>
        <m:r>
          <w:rPr>
            <w:rFonts w:ascii="Arial" w:cs="Arial" w:eastAsia="Arial" w:hAnsi="Arial"/>
            <w:sz w:val="22"/>
            <w:szCs w:val="22"/>
          </w:rPr>
          <m:t xml:space="preserve">w(G)</m:t>
        </m:r>
      </m:oMath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և </w:t>
      </w:r>
      <m:oMath>
        <m:r>
          <w:rPr>
            <w:rFonts w:ascii="Arial" w:cs="Arial" w:eastAsia="Arial" w:hAnsi="Arial"/>
            <w:sz w:val="22"/>
            <w:szCs w:val="22"/>
          </w:rPr>
          <m:t xml:space="preserve">W(G)</m:t>
        </m:r>
      </m:oMath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պարամետրերի հասանելի գնահատականներ և որոշ գրաֆների դասերի համար այդ պարամետրերի ճշգրիտ արժեքներ,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ստացված են հարթ և արտաքին հարթ գրաֆների միջակայքային կողային ներկումներում մասնակցող հնարավոր գույների քանակի հասանելի վերին գնահատականներ, մասնավորապես, Աքսենովիչի հիպոթեզի ապացույց,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տրված է լրիվ բազմակողմանի գրաֆների միջակայքային կողային ներկում ունեցող որոշ դասերի նկարագրություն, ինչպես նաև լրիվ բազմակողմանի գրաֆների միջակայքային կողային ներկում չունեցող որոշ դասերի նկարագրություն, մասնավորապես, ապացուցվել է, որ </w:t>
      </w:r>
      <m:oMath>
        <m:sSub>
          <m:sSubPr>
            <m:ctrlPr>
              <w:rPr>
                <w:rFonts w:ascii="Arial" w:cs="Arial" w:eastAsia="Arial" w:hAnsi="Arial"/>
                <w:sz w:val="22"/>
                <w:szCs w:val="22"/>
              </w:rPr>
            </m:ctrlPr>
          </m:sSub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K</m:t>
            </m:r>
          </m:e>
          <m:sub>
            <m:r>
              <w:rPr>
                <w:rFonts w:ascii="Arial" w:cs="Arial" w:eastAsia="Arial" w:hAnsi="Arial"/>
                <w:sz w:val="22"/>
                <w:szCs w:val="22"/>
              </w:rPr>
              <m:t xml:space="preserve">2n,2n,2n</m:t>
            </m:r>
          </m:sub>
        </m:sSub>
      </m:oMath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գրաֆը ունի միջակայքային </w:t>
      </w:r>
      <m:oMath>
        <m:r>
          <w:rPr>
            <w:rFonts w:ascii="Arial" w:cs="Arial" w:eastAsia="Arial" w:hAnsi="Arial"/>
            <w:sz w:val="22"/>
            <w:szCs w:val="22"/>
          </w:rPr>
          <m:t xml:space="preserve">t</m:t>
        </m:r>
      </m:oMath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-ներկում, այն և միայն այն դեպքում, երբ </w:t>
      </w:r>
      <m:oMath>
        <m:r>
          <w:rPr>
            <w:rFonts w:ascii="Arial" w:cs="Arial" w:eastAsia="Arial" w:hAnsi="Arial"/>
            <w:sz w:val="22"/>
            <w:szCs w:val="22"/>
          </w:rPr>
          <m:t xml:space="preserve">4n </m:t>
        </m:r>
        <m:r>
          <w:rPr>
            <w:rFonts w:ascii="Arial" w:cs="Arial" w:eastAsia="Arial" w:hAnsi="Arial"/>
            <w:sz w:val="22"/>
            <w:szCs w:val="22"/>
          </w:rPr>
          <m:t>≤</m:t>
        </m:r>
        <m:r>
          <w:rPr>
            <w:rFonts w:ascii="Arial" w:cs="Arial" w:eastAsia="Arial" w:hAnsi="Arial"/>
            <w:sz w:val="22"/>
            <w:szCs w:val="22"/>
          </w:rPr>
          <m:t xml:space="preserve">t </m:t>
        </m:r>
        <m:r>
          <w:rPr>
            <w:rFonts w:ascii="Arial" w:cs="Arial" w:eastAsia="Arial" w:hAnsi="Arial"/>
            <w:sz w:val="22"/>
            <w:szCs w:val="22"/>
          </w:rPr>
          <m:t>≤</m:t>
        </m:r>
        <m:r>
          <w:rPr>
            <w:rFonts w:ascii="Arial" w:cs="Arial" w:eastAsia="Arial" w:hAnsi="Arial"/>
            <w:sz w:val="22"/>
            <w:szCs w:val="22"/>
          </w:rPr>
          <m:t xml:space="preserve">8n-2</m:t>
        </m:r>
      </m:oMath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, ինչպես նաև հաստատվել է Շաո, Լի, Վանգ, Վանգ և Ժանգի կողմից առաջարկված հիպոթեզը լրիվ 4-կողմանի գրաֆների միջակայքային ներկելիության մասին,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ստացված են կակտուս գրաֆների, ցիկլիկ ծառերի միջակայքային կողային ներկումների գոյության, կառուցման և թվային պարամետրերի գնահատականների հետ առնչվող մի շարք արդյունքներ, ինչպես նաև տրված է </w:t>
      </w:r>
      <m:oMath>
        <m:r>
          <w:rPr>
            <w:rFonts w:ascii="Arial" w:cs="Arial" w:eastAsia="Arial" w:hAnsi="Arial"/>
            <w:sz w:val="22"/>
            <w:szCs w:val="22"/>
          </w:rPr>
          <m:t xml:space="preserve">G</m:t>
        </m:r>
      </m:oMath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կակտուս </w:t>
      </w:r>
      <m:oMath>
        <m:r>
          <w:rPr>
            <w:rFonts w:ascii="Arial" w:cs="Arial" w:eastAsia="Arial" w:hAnsi="Arial"/>
            <w:sz w:val="22"/>
            <w:szCs w:val="22"/>
          </w:rPr>
          <m:t xml:space="preserve">(N,M)</m:t>
        </m:r>
      </m:oMath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-գրաֆների միջակայքային կողային ներկելիության </w:t>
      </w:r>
      <m:oMath>
        <m:r>
          <w:rPr>
            <w:rFonts w:ascii="Arial" w:cs="Arial" w:eastAsia="Arial" w:hAnsi="Arial"/>
            <w:sz w:val="22"/>
            <w:szCs w:val="22"/>
          </w:rPr>
          <m:t xml:space="preserve">O(M</m:t>
        </m:r>
        <m:sSup>
          <m:sSupPr>
            <m:ctrlPr>
              <w:rPr>
                <w:rFonts w:ascii="Arial" w:cs="Arial" w:eastAsia="Arial" w:hAnsi="Arial"/>
                <w:sz w:val="22"/>
                <w:szCs w:val="22"/>
              </w:rPr>
            </m:ctrlPr>
          </m:sSup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N</m:t>
            </m:r>
          </m:e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2</m:t>
            </m:r>
          </m:sup>
        </m:sSup>
        <m:r>
          <w:rPr>
            <w:rFonts w:ascii="Arial" w:cs="Arial" w:eastAsia="Arial" w:hAnsi="Arial"/>
            <w:sz w:val="22"/>
            <w:szCs w:val="22"/>
          </w:rPr>
          <m:t xml:space="preserve">+</m:t>
        </m:r>
        <m:sSup>
          <m:sSupPr>
            <m:ctrlPr>
              <w:rPr>
                <w:rFonts w:ascii="Arial" w:cs="Arial" w:eastAsia="Arial" w:hAnsi="Arial"/>
                <w:sz w:val="22"/>
                <w:szCs w:val="22"/>
              </w:rPr>
            </m:ctrlPr>
          </m:sSup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M</m:t>
            </m:r>
          </m:e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2</m:t>
            </m:r>
          </m:sup>
        </m:sSup>
        <m:sSup>
          <m:sSupPr>
            <m:ctrlPr>
              <w:rPr>
                <w:rFonts w:ascii="Arial" w:cs="Arial" w:eastAsia="Arial" w:hAnsi="Arial"/>
                <w:sz w:val="22"/>
                <w:szCs w:val="22"/>
              </w:rPr>
            </m:ctrlPr>
          </m:sSup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2</m:t>
            </m:r>
          </m:e>
          <m:sup>
            <m:r>
              <w:rPr>
                <w:rFonts w:ascii="Arial" w:cs="Arial" w:eastAsia="Arial" w:hAnsi="Arial"/>
                <w:sz w:val="22"/>
                <w:szCs w:val="22"/>
              </w:rPr>
              <m:t>Δ</m:t>
            </m:r>
            <m:r>
              <w:rPr>
                <w:rFonts w:ascii="Arial" w:cs="Arial" w:eastAsia="Arial" w:hAnsi="Arial"/>
                <w:sz w:val="22"/>
                <w:szCs w:val="22"/>
              </w:rPr>
              <m:t xml:space="preserve">(G)</m:t>
            </m:r>
          </m:sup>
        </m:sSup>
        <m:r>
          <w:rPr>
            <w:rFonts w:ascii="Arial" w:cs="Arial" w:eastAsia="Arial" w:hAnsi="Arial"/>
            <w:sz w:val="22"/>
            <w:szCs w:val="22"/>
          </w:rPr>
          <m:t xml:space="preserve">)</m:t>
        </m:r>
      </m:oMath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 բարդությամբ ճանաչման ալգորիթմ։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" w:firstLine="54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Լևոն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Մուրադյանի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ատենախոսությունն ամբողջական գիտական աշխատություն է, որն ունի ինչպես տեսական, այնպես էլ կիրառական նշանակություն: Հետազոտության արդյունքները կարող են կիրառվել կոմպակտ կարգացուցակների գոյության և կառուցման, համակարգիչների և ծրագրերի հիշողության օպտիմալ բաշխման, անընդհատ պրոցեսների մաթեմատիկական մոդելավորման խնդիրներում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Հրապարակված աշխատանքները լիովին ընդգրկում են ատենախոսության հիմնական արդյունքները: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Ատենախոսությունը համապատասխանում է Ա.01.09 «Մաթեմատիկական կիբեռնետիկա և մաթեմատիկական տրամաբանություն» մասնագիտությանը: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5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Խորհրդի որոշմամբ, հեղինակին`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Լևոն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Նորայրի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Մուրադյանին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շնորհվել է ֆիզիկամաթեմատիկական գիտությունների թեկնածուի գիտական աստիճան: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Հիմք ընդունելով ԲԿ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ԳԿ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-ի 050 «Մաթեմատիկա» մասնագիտական խորհրդի որոշումը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Լևոն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Նորայրի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Մուրադյանին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ֆիզիկամաթեմատիկական գիտությունների թեկնածուի գիտական աստիճան շնորհելու մասին` միջնորդում ենք ԲԿԳԿ-ին հաստատել խորհրդի որոշումը: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050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մասնագիտական խորհրդի նախագահ`</w:t>
        <w:tab/>
        <w:tab/>
        <w:tab/>
        <w:t xml:space="preserve">      </w:t>
        <w:tab/>
        <w:t xml:space="preserve">        Գ.Գ․ Գևորգյան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Գիտական քարտուղար`</w:t>
        <w:tab/>
        <w:tab/>
        <w:tab/>
        <w:tab/>
        <w:tab/>
        <w:t xml:space="preserve">           </w:t>
        <w:tab/>
        <w:tab/>
        <w:t xml:space="preserve">     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Կ</w:t>
      </w:r>
      <w:r w:rsidDel="00000000" w:rsidR="00000000" w:rsidRPr="00000000">
        <w:rPr>
          <w:rFonts w:ascii="Tahoma" w:cs="Tahoma" w:eastAsia="Tahoma" w:hAnsi="Tahom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․Լ․ </w:t>
      </w:r>
      <w:r w:rsidDel="00000000" w:rsidR="00000000" w:rsidRPr="00000000">
        <w:rPr>
          <w:rFonts w:ascii="Tahoma" w:cs="Tahoma" w:eastAsia="Tahoma" w:hAnsi="Tahoma"/>
          <w:sz w:val="22"/>
          <w:szCs w:val="22"/>
          <w:rtl w:val="0"/>
        </w:rPr>
        <w:t xml:space="preserve">Ավետիսյան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hy-AM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