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ՈՐՈՇՈՒՄ</w:t>
      </w:r>
    </w:p>
    <w:p w:rsidR="00000000" w:rsidDel="00000000" w:rsidP="00000000" w:rsidRDefault="00000000" w:rsidRPr="00000000" w14:paraId="00000002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Համաձայն «Գիտական աստիճաններ շնորհող մասնագիտական խորհրդի աշխատանքի կանոնակարգի» 13-րդ կետի՝</w:t>
      </w:r>
    </w:p>
    <w:p w:rsidR="00000000" w:rsidDel="00000000" w:rsidP="00000000" w:rsidRDefault="00000000" w:rsidRPr="00000000" w14:paraId="0000000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Լևոն Մուրադյանի Ա.01.09 մաթեմատիկական կիբեռնետիկա և  </w:t>
      </w:r>
    </w:p>
    <w:p w:rsidR="00000000" w:rsidDel="00000000" w:rsidP="00000000" w:rsidRDefault="00000000" w:rsidRPr="00000000" w14:paraId="0000000A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մաթեմատիկական տրամաբանություն մասնագիտությամբ ֆիզիկամաթեմատիկական գիտությունների թեկնածուի «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Գրաֆների միջակայքային կողային ներկումների մասին</w:t>
      </w: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» թեմայով ատենախոսությունը ընդունել պաշտպանության։</w:t>
      </w:r>
    </w:p>
    <w:p w:rsidR="00000000" w:rsidDel="00000000" w:rsidP="00000000" w:rsidRDefault="00000000" w:rsidRPr="00000000" w14:paraId="0000000B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Գիտական քարտուղար՝</w:t>
        <w:tab/>
        <w:tab/>
        <w:tab/>
        <w:tab/>
        <w:tab/>
        <w:t xml:space="preserve">Կ.Լ. Ավետիսյան</w:t>
      </w:r>
    </w:p>
    <w:p w:rsidR="00000000" w:rsidDel="00000000" w:rsidP="00000000" w:rsidRDefault="00000000" w:rsidRPr="00000000" w14:paraId="00000011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Մասնագետ՝</w:t>
        <w:tab/>
        <w:tab/>
        <w:tab/>
        <w:tab/>
        <w:tab/>
        <w:tab/>
        <w:tab/>
        <w:t xml:space="preserve">Ա.Ա. Չուբարյան </w:t>
      </w:r>
    </w:p>
    <w:p w:rsidR="00000000" w:rsidDel="00000000" w:rsidP="00000000" w:rsidRDefault="00000000" w:rsidRPr="00000000" w14:paraId="00000014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Մասնագետ՝</w:t>
        <w:tab/>
        <w:tab/>
        <w:tab/>
        <w:tab/>
        <w:tab/>
        <w:tab/>
        <w:tab/>
        <w:t xml:space="preserve">Վ.Հ. Միքայելյան</w:t>
      </w:r>
    </w:p>
    <w:p w:rsidR="00000000" w:rsidDel="00000000" w:rsidP="00000000" w:rsidRDefault="00000000" w:rsidRPr="00000000" w14:paraId="00000017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Merriweather" w:cs="Merriweather" w:eastAsia="Merriweather" w:hAnsi="Merriweather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sz w:val="24"/>
          <w:szCs w:val="24"/>
          <w:rtl w:val="0"/>
        </w:rPr>
        <w:t xml:space="preserve">Մասնագետ՝</w:t>
        <w:tab/>
        <w:tab/>
        <w:tab/>
        <w:tab/>
        <w:tab/>
        <w:tab/>
        <w:tab/>
        <w:t xml:space="preserve">Է.Մ. Պողոսյան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ahoma">
    <w:embedRegular w:fontKey="{00000000-0000-0000-0000-000000000000}" r:id="rId1" w:subsetted="0"/>
    <w:embedBold w:fontKey="{00000000-0000-0000-0000-000000000000}" r:id="rId2" w:subsetted="0"/>
  </w:font>
  <w:font w:name="Merriweather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Merriweather-regular.ttf"/><Relationship Id="rId4" Type="http://schemas.openxmlformats.org/officeDocument/2006/relationships/font" Target="fonts/Merriweather-bold.ttf"/><Relationship Id="rId5" Type="http://schemas.openxmlformats.org/officeDocument/2006/relationships/font" Target="fonts/Merriweather-italic.ttf"/><Relationship Id="rId6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