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ՀՀ ԿԳՄՍՆ բարձրագույն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կրթության և գիտության կոմիտեի նախագահ՝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Ս. Ս. Հայոցյանին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Հարգելի պարոն Հայոցյան,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Երևանի պետական համալսարանում գործող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Մաթեմատիկայի 050 մասնագիտական խորհուրդը Ձեզ է ուղարկում Ա.01.09 «Մաթեմատիկական կիբեռնետիկա և մաթեմատիկական տրամաբանություն» մասնագիտությամբ Լևոն Նորայրի Մուրադյանի «Գրաֆների միջակայքային կողային ներկումների մասին» թեմայով թեկնածուական ատենախոսության առաջին օրինակը։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Ատենախոսության պաշտպանությունը կայացել է ս.թ. հունիսի 2-ին։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Կցված են որակավորման գործը, փաստաթղթերի ցուցակը, 2 սեղմագիր։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Մաթեմատիկայի 050 մասնագիտական խորհրդի նախագահ,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ՀՀ ԳԱԱ ակադեմիկոս՝</w:t>
        <w:tab/>
        <w:tab/>
        <w:tab/>
        <w:tab/>
        <w:tab/>
        <w:tab/>
        <w:tab/>
        <w:t xml:space="preserve">  Գ. Գ. Գևորգյան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