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20"/>
          <w:szCs w:val="20"/>
        </w:rPr>
        <w:t xml:space="preserve">CRISP-DM PHASE 1</w:t>
      </w:r>
    </w:p>
    <w:p>
      <w:pPr>
        <w:spacing w:after="60"/>
      </w:pPr>
      <w:r>
        <w:rPr>
          <w:b/>
          <w:bCs/>
          <w:sz w:val="40"/>
          <w:szCs w:val="40"/>
        </w:rPr>
        <w:t xml:space="preserve">Business Understanding Document</w:t>
      </w:r>
    </w:p>
    <w:p>
      <w:pPr>
        <w:spacing w:after="300"/>
      </w:pPr>
      <w:r>
        <w:rPr>
          <w:i/>
          <w:iCs/>
          <w:color w:val="555555"/>
          <w:sz w:val="22"/>
          <w:szCs w:val="22"/>
        </w:rPr>
        <w:t xml:space="preserve">Financial DNA: A Client Profiling and Fraud Detection System for Fintech Lending</w:t>
      </w:r>
    </w:p>
    <w:p>
      <w:pPr>
        <w:pStyle w:val="Heading1"/>
        <w:spacing w:after="140" w:before="320"/>
      </w:pPr>
      <w:r>
        <w:rPr>
          <w:b/>
          <w:bCs/>
          <w:color w:val="1F4E79"/>
        </w:rPr>
        <w:t xml:space="preserve">1. Background</w:t>
      </w:r>
    </w:p>
    <w:p>
      <w:pPr>
        <w:spacing w:after="160" w:line="300"/>
      </w:pPr>
      <w:r>
        <w:rPr>
          <w:sz w:val="22"/>
          <w:szCs w:val="22"/>
        </w:rPr>
        <w:t xml:space="preserve">Fintech lenders make decisions about loan limits and client risk using data that already sits in their systems, but this data is rarely used to its full potential. Client information such as loan amounts, balances, repayment history, arrears, account status, and demographics is routinely collected as part of normal lending operations, yet it is typically used only to process the loan in front of the officer rather than to build a fuller picture of the client over time.</w:t>
      </w:r>
    </w:p>
    <w:p>
      <w:pPr>
        <w:spacing w:after="160" w:line="300"/>
      </w:pPr>
      <w:r>
        <w:rPr>
          <w:sz w:val="22"/>
          <w:szCs w:val="22"/>
        </w:rPr>
        <w:t xml:space="preserve">This project, Financial DNA, is proposed as a capstone system that draws on this existing loan and repayment history to build a behavioural profile for every client — described as a behavioural fingerprint derived from their loan history, repayment patterns, arrears, and balances. The intent is to turn data a lender already holds into a working system, rather than to introduce a requirement for new data collection.</w:t>
      </w:r>
    </w:p>
    <w:p>
      <w:pPr>
        <w:pStyle w:val="Heading1"/>
        <w:spacing w:after="140" w:before="320"/>
      </w:pPr>
      <w:r>
        <w:rPr>
          <w:b/>
          <w:bCs/>
          <w:color w:val="1F4E79"/>
        </w:rPr>
        <w:t xml:space="preserve">2. Problem Statement</w:t>
      </w:r>
    </w:p>
    <w:p>
      <w:pPr>
        <w:spacing w:after="160" w:line="300"/>
      </w:pPr>
      <w:r>
        <w:rPr>
          <w:sz w:val="22"/>
          <w:szCs w:val="22"/>
        </w:rPr>
        <w:t xml:space="preserve">Two specific problems motivate the project:</w:t>
      </w:r>
    </w:p>
    <w:p>
      <w:pPr>
        <w:pStyle w:val="ListParagraph"/>
        <w:numPr>
          <w:ilvl w:val="0"/>
          <w:numId w:val="2"/>
        </w:numPr>
        <w:spacing w:after="100" w:line="290"/>
      </w:pPr>
      <w:r>
        <w:rPr>
          <w:b/>
          <w:bCs/>
          <w:sz w:val="22"/>
          <w:szCs w:val="22"/>
        </w:rPr>
        <w:t xml:space="preserve">Fragmented risk assessment: </w:t>
      </w:r>
      <w:r>
        <w:rPr>
          <w:sz w:val="22"/>
          <w:szCs w:val="22"/>
        </w:rPr>
        <w:t xml:space="preserve">client risk is often assessed loan by loan rather than as a full behavioural picture of the client over time, meaning a lender's view of a client can look different from one application to the next instead of reflecting a consistent history.</w:t>
      </w:r>
    </w:p>
    <w:p>
      <w:pPr>
        <w:pStyle w:val="ListParagraph"/>
        <w:numPr>
          <w:ilvl w:val="0"/>
          <w:numId w:val="2"/>
        </w:numPr>
        <w:spacing w:after="100" w:line="290"/>
      </w:pPr>
      <w:r>
        <w:rPr>
          <w:b/>
          <w:bCs/>
          <w:sz w:val="22"/>
          <w:szCs w:val="22"/>
        </w:rPr>
        <w:t xml:space="preserve">Reactive fraud detection: </w:t>
      </w:r>
      <w:r>
        <w:rPr>
          <w:sz w:val="22"/>
          <w:szCs w:val="22"/>
        </w:rPr>
        <w:t xml:space="preserve">fraud is usually detected after it happens, once losses are already incurred, rather than flagged as it develops, meaning the lender is typically reacting to a loss rather than catching it in progress.</w:t>
      </w:r>
    </w:p>
    <w:p>
      <w:pPr>
        <w:spacing w:after="160" w:line="300"/>
      </w:pPr>
      <w:r>
        <w:rPr>
          <w:sz w:val="22"/>
          <w:szCs w:val="22"/>
        </w:rPr>
        <w:t xml:space="preserve">Both problems are treated as a single underlying gap rather than two unrelated issues: the absence of one unified system, built from a client's loan and repayment history, that can address risk assessment and fraud detection together.</w:t>
      </w:r>
    </w:p>
    <w:p>
      <w:pPr>
        <w:pStyle w:val="Heading1"/>
        <w:spacing w:after="140" w:before="320"/>
      </w:pPr>
      <w:r>
        <w:rPr>
          <w:b/>
          <w:bCs/>
          <w:color w:val="1F4E79"/>
        </w:rPr>
        <w:t xml:space="preserve">3. Determine Business Objectives</w:t>
      </w:r>
    </w:p>
    <w:p>
      <w:pPr>
        <w:pStyle w:val="Heading2"/>
        <w:spacing w:after="100" w:before="220"/>
      </w:pPr>
      <w:r>
        <w:rPr>
          <w:b/>
          <w:bCs/>
          <w:color w:val="2E6DA4"/>
          <w:sz w:val="24"/>
          <w:szCs w:val="24"/>
        </w:rPr>
        <w:t xml:space="preserve">3.1 Business Objectives</w:t>
      </w:r>
    </w:p>
    <w:p>
      <w:pPr>
        <w:spacing w:after="160" w:line="300"/>
      </w:pPr>
      <w:r>
        <w:rPr>
          <w:sz w:val="22"/>
          <w:szCs w:val="22"/>
        </w:rPr>
        <w:t xml:space="preserve">The core idea is to build a Financial DNA profile for every client. This profile is designed to do two things at once, and these form the project's two business objectives:</w:t>
      </w:r>
    </w:p>
    <w:p>
      <w:pPr>
        <w:pStyle w:val="ListParagraph"/>
        <w:numPr>
          <w:ilvl w:val="0"/>
          <w:numId w:val="2"/>
        </w:numPr>
        <w:spacing w:after="100" w:line="290"/>
      </w:pPr>
      <w:r>
        <w:rPr>
          <w:b/>
          <w:bCs/>
          <w:sz w:val="22"/>
          <w:szCs w:val="22"/>
        </w:rPr>
        <w:t xml:space="preserve">Client Understanding: </w:t>
      </w:r>
      <w:r>
        <w:rPr>
          <w:sz w:val="22"/>
          <w:szCs w:val="22"/>
        </w:rPr>
        <w:t xml:space="preserve">classify each client into a behavioural segment (for example, consistent payer, seasonal borrower, or high-risk repeat defaulter) and recommend an appropriate loan limit based on that profile.</w:t>
      </w:r>
    </w:p>
    <w:p>
      <w:pPr>
        <w:pStyle w:val="ListParagraph"/>
        <w:numPr>
          <w:ilvl w:val="0"/>
          <w:numId w:val="2"/>
        </w:numPr>
        <w:spacing w:after="100" w:line="290"/>
      </w:pPr>
      <w:r>
        <w:rPr>
          <w:b/>
          <w:bCs/>
          <w:sz w:val="22"/>
          <w:szCs w:val="22"/>
        </w:rPr>
        <w:t xml:space="preserve">Fraud Detection: </w:t>
      </w:r>
      <w:r>
        <w:rPr>
          <w:sz w:val="22"/>
          <w:szCs w:val="22"/>
        </w:rPr>
        <w:t xml:space="preserve">continuously check whether a client's current behaviour still matches their own historical DNA, or matches known fraud patterns, and flag accounts that drift from expected behaviour.</w:t>
      </w:r>
    </w:p>
    <w:p>
      <w:pPr>
        <w:spacing w:after="160" w:line="300"/>
      </w:pPr>
      <w:r>
        <w:rPr>
          <w:sz w:val="22"/>
          <w:szCs w:val="22"/>
        </w:rPr>
        <w:t xml:space="preserve">Because both objectives are built from the same underlying client features, they are to be delivered as a single product, sharing one data pipeline, rather than as two separate systems. A further objective sits alongside these two: deployment is treated as mandatory rather than optional, meaning the finished models must be saved and served through a REST API, with a lightweight web UI on top, so that a loan officer can enter or select a client and instantly see their Financial DNA profile, recommended loan limit, and current fraud risk flag.</w:t>
      </w:r>
    </w:p>
    <w:p>
      <w:pPr>
        <w:pStyle w:val="Heading2"/>
        <w:spacing w:after="100" w:before="220"/>
      </w:pPr>
      <w:r>
        <w:rPr>
          <w:b/>
          <w:bCs/>
          <w:color w:val="2E6DA4"/>
          <w:sz w:val="24"/>
          <w:szCs w:val="24"/>
        </w:rPr>
        <w:t xml:space="preserve">3.2 Business Success Criteria</w:t>
      </w:r>
    </w:p>
    <w:p>
      <w:pPr>
        <w:spacing w:after="160" w:line="300"/>
      </w:pPr>
      <w:r>
        <w:rPr>
          <w:sz w:val="22"/>
          <w:szCs w:val="22"/>
        </w:rPr>
        <w:t xml:space="preserve">By the end of the capstone period, the project is considered successful from a business perspective if it delivers a deployed, demo-ready system that turns raw loan and repayment history into three practical outputs for a lending business: a behavioural profile per client, a data-driven loan limit recommendation, and a real-time fraud risk flag. All three outputs must be explainable and traceable back to the client's own transaction history — this traceability is treated as a defining condition of success, not an optional refinement, since it is what allows the outputs to be trusted and acted on by a loan officer.</w:t>
      </w:r>
    </w:p>
    <w:p>
      <w:pPr>
        <w:pStyle w:val="Heading1"/>
        <w:spacing w:after="140" w:before="320"/>
      </w:pPr>
      <w:r>
        <w:rPr>
          <w:b/>
          <w:bCs/>
          <w:color w:val="1F4E79"/>
        </w:rPr>
        <w:t xml:space="preserve">4. Stakeholders</w:t>
      </w:r>
    </w:p>
    <w:p>
      <w:pPr>
        <w:spacing w:after="160" w:line="300"/>
      </w:pPr>
      <w:r>
        <w:rPr>
          <w:sz w:val="22"/>
          <w:szCs w:val="22"/>
        </w:rPr>
        <w:t xml:space="preserve">Financial DNA touches several groups within a lending business, each with a different stake in how the system is built and used:</w:t>
      </w:r>
    </w:p>
    <w:p>
      <w:pPr>
        <w:pStyle w:val="ListParagraph"/>
        <w:numPr>
          <w:ilvl w:val="0"/>
          <w:numId w:val="2"/>
        </w:numPr>
        <w:spacing w:after="100" w:line="290"/>
      </w:pPr>
      <w:r>
        <w:rPr>
          <w:b/>
          <w:bCs/>
          <w:sz w:val="22"/>
          <w:szCs w:val="22"/>
        </w:rPr>
        <w:t xml:space="preserve">Loan officers: </w:t>
      </w:r>
      <w:r>
        <w:rPr>
          <w:sz w:val="22"/>
          <w:szCs w:val="22"/>
        </w:rPr>
        <w:t xml:space="preserve">the direct end users of the system, who enter or select a client in the UI and act on the profile, loan limit recommendation, and fraud risk flag it returns.</w:t>
      </w:r>
    </w:p>
    <w:p>
      <w:pPr>
        <w:pStyle w:val="ListParagraph"/>
        <w:numPr>
          <w:ilvl w:val="0"/>
          <w:numId w:val="2"/>
        </w:numPr>
        <w:spacing w:after="100" w:line="290"/>
      </w:pPr>
      <w:r>
        <w:rPr>
          <w:b/>
          <w:bCs/>
          <w:sz w:val="22"/>
          <w:szCs w:val="22"/>
        </w:rPr>
        <w:t xml:space="preserve">Risk and credit teams: </w:t>
      </w:r>
      <w:r>
        <w:rPr>
          <w:sz w:val="22"/>
          <w:szCs w:val="22"/>
        </w:rPr>
        <w:t xml:space="preserve">own the definition of acceptable client risk and would need to validate that the behavioural segments and loan limit recommendations align with the lender's existing risk appetite before they can be trusted in production.</w:t>
      </w:r>
    </w:p>
    <w:p>
      <w:pPr>
        <w:pStyle w:val="ListParagraph"/>
        <w:numPr>
          <w:ilvl w:val="0"/>
          <w:numId w:val="2"/>
        </w:numPr>
        <w:spacing w:after="100" w:line="290"/>
      </w:pPr>
      <w:r>
        <w:rPr>
          <w:b/>
          <w:bCs/>
          <w:sz w:val="22"/>
          <w:szCs w:val="22"/>
        </w:rPr>
        <w:t xml:space="preserve">Fraud and compliance teams: </w:t>
      </w:r>
      <w:r>
        <w:rPr>
          <w:sz w:val="22"/>
          <w:szCs w:val="22"/>
        </w:rPr>
        <w:t xml:space="preserve">own the definition of fraudulent or anomalous behaviour and are the ones who act on flagged accounts, making the explainability of each flag central to their ability to trust and use the system.</w:t>
      </w:r>
    </w:p>
    <w:p>
      <w:pPr>
        <w:pStyle w:val="ListParagraph"/>
        <w:numPr>
          <w:ilvl w:val="0"/>
          <w:numId w:val="2"/>
        </w:numPr>
        <w:spacing w:after="100" w:line="290"/>
      </w:pPr>
      <w:r>
        <w:rPr>
          <w:b/>
          <w:bCs/>
          <w:sz w:val="22"/>
          <w:szCs w:val="22"/>
        </w:rPr>
        <w:t xml:space="preserve">Lending business leadership: </w:t>
      </w:r>
      <w:r>
        <w:rPr>
          <w:sz w:val="22"/>
          <w:szCs w:val="22"/>
        </w:rPr>
        <w:t xml:space="preserve">care about the business success criteria as a whole — a deployed, demo-ready system that turns existing data into practical, trustworthy outputs without requiring new data collection.</w:t>
      </w:r>
    </w:p>
    <w:p>
      <w:pPr>
        <w:pStyle w:val="ListParagraph"/>
        <w:numPr>
          <w:ilvl w:val="0"/>
          <w:numId w:val="2"/>
        </w:numPr>
        <w:spacing w:after="100" w:line="290"/>
      </w:pPr>
      <w:r>
        <w:rPr>
          <w:b/>
          <w:bCs/>
          <w:sz w:val="22"/>
          <w:szCs w:val="22"/>
        </w:rPr>
        <w:t xml:space="preserve">Data and IT teams: </w:t>
      </w:r>
      <w:r>
        <w:rPr>
          <w:sz w:val="22"/>
          <w:szCs w:val="22"/>
        </w:rPr>
        <w:t xml:space="preserve">own the underlying loan and repayment data the system draws from, and would be responsible for integrating the REST API into existing lending infrastructure.</w:t>
      </w:r>
    </w:p>
    <w:p>
      <w:pPr>
        <w:pStyle w:val="ListParagraph"/>
        <w:numPr>
          <w:ilvl w:val="0"/>
          <w:numId w:val="2"/>
        </w:numPr>
        <w:spacing w:after="100" w:line="290"/>
      </w:pPr>
      <w:r>
        <w:rPr>
          <w:b/>
          <w:bCs/>
          <w:sz w:val="22"/>
          <w:szCs w:val="22"/>
        </w:rPr>
        <w:t xml:space="preserve">Clients (borrowers): </w:t>
      </w:r>
      <w:r>
        <w:rPr>
          <w:sz w:val="22"/>
          <w:szCs w:val="22"/>
        </w:rPr>
        <w:t xml:space="preserve">indirectly affected by the system's outputs through the loan limits and fraud flags assigned to them, which is why explainability and traceability are treated as defining conditions of success rather than optional refinements.</w:t>
      </w:r>
    </w:p>
    <w:p>
      <w:pPr>
        <w:pStyle w:val="ListParagraph"/>
        <w:numPr>
          <w:ilvl w:val="0"/>
          <w:numId w:val="2"/>
        </w:numPr>
        <w:spacing w:after="100" w:line="290"/>
      </w:pPr>
      <w:r>
        <w:rPr>
          <w:b/>
          <w:bCs/>
          <w:sz w:val="22"/>
          <w:szCs w:val="22"/>
        </w:rPr>
        <w:t xml:space="preserve">Project team and Moringa instructors/evaluators: </w:t>
      </w:r>
      <w:r>
        <w:rPr>
          <w:sz w:val="22"/>
          <w:szCs w:val="22"/>
        </w:rPr>
        <w:t xml:space="preserve">the capstone team building and delivering the system, and the instructors assessing it against the program's requirements.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2026-08-24T06:24:39.310Z</dcterms:created>
  <dcterms:modified xsi:type="dcterms:W3CDTF">2026-08-24T06:24:39.323Z</dcterms:modified>
</cp:coreProperties>
</file>

<file path=docProps/custom.xml><?xml version="1.0" encoding="utf-8"?>
<Properties xmlns="http://schemas.openxmlformats.org/officeDocument/2006/custom-properties" xmlns:vt="http://schemas.openxmlformats.org/officeDocument/2006/docPropsVTypes"/>
</file>