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DDF1" w14:textId="72EE9AAB" w:rsidR="00B56435" w:rsidRDefault="00B56435" w:rsidP="00B56435">
      <w:pPr>
        <w:jc w:val="center"/>
      </w:pPr>
      <w:r>
        <w:t>Changes in the NHD model</w:t>
      </w:r>
    </w:p>
    <w:p w14:paraId="46B085BC" w14:textId="7EEE1897" w:rsidR="00B56435" w:rsidRDefault="00B56435" w:rsidP="00B56435">
      <w:pPr>
        <w:pStyle w:val="ListParagraph"/>
        <w:numPr>
          <w:ilvl w:val="0"/>
          <w:numId w:val="1"/>
        </w:numPr>
      </w:pPr>
      <w:r>
        <w:t>Additional parameter - undiagnosed mortality to BC stage 4 (</w:t>
      </w:r>
      <w:proofErr w:type="gramStart"/>
      <w:r>
        <w:t>i.e.</w:t>
      </w:r>
      <w:proofErr w:type="gramEnd"/>
      <w:r>
        <w:t xml:space="preserve"> mortality at the time of death) -is added to the model. This parameter needs to be calibrated</w:t>
      </w:r>
    </w:p>
    <w:p w14:paraId="5B92779C" w14:textId="23B1314B" w:rsidR="00B56435" w:rsidRDefault="00B56435" w:rsidP="00B56435">
      <w:pPr>
        <w:pStyle w:val="ListParagraph"/>
        <w:numPr>
          <w:ilvl w:val="0"/>
          <w:numId w:val="1"/>
        </w:numPr>
      </w:pPr>
      <w:r>
        <w:t>Probability to be diagnosed changed from linear function based on time from onset to an annual probability in each stage (+2 more parameters).</w:t>
      </w:r>
    </w:p>
    <w:p w14:paraId="5FBCCE48" w14:textId="26783A99" w:rsidR="00B56435" w:rsidRDefault="003250E5" w:rsidP="00B56435">
      <w:pPr>
        <w:pStyle w:val="ListParagraph"/>
        <w:numPr>
          <w:ilvl w:val="0"/>
          <w:numId w:val="1"/>
        </w:numPr>
      </w:pPr>
      <w:r>
        <w:t xml:space="preserve">The assumptions on disease progression changed. </w:t>
      </w:r>
      <w:r w:rsidR="001D3F29">
        <w:t xml:space="preserve">Originally the mean was equalised to the median reported in Broder (2021) study. In the new version the median was converted by simulating the 1 </w:t>
      </w:r>
      <w:proofErr w:type="spellStart"/>
      <w:r w:rsidR="001D3F29">
        <w:t>mln</w:t>
      </w:r>
      <w:proofErr w:type="spellEnd"/>
      <w:r w:rsidR="001D3F29">
        <w:t xml:space="preserve"> values assuming the beta distribution and that the reported range </w:t>
      </w:r>
      <w:proofErr w:type="gramStart"/>
      <w:r w:rsidR="001D3F29">
        <w:t>actually is</w:t>
      </w:r>
      <w:proofErr w:type="gramEnd"/>
      <w:r w:rsidR="001D3F29">
        <w:t xml:space="preserve"> a 90% CI. The remaining outliers </w:t>
      </w:r>
      <w:proofErr w:type="gramStart"/>
      <w:r w:rsidR="001D3F29">
        <w:t>were considered to be</w:t>
      </w:r>
      <w:proofErr w:type="gramEnd"/>
      <w:r w:rsidR="001D3F29">
        <w:t xml:space="preserve"> distributed within the 5 following years. The new calculated means </w:t>
      </w:r>
      <w:proofErr w:type="gramStart"/>
      <w:r w:rsidR="001D3F29">
        <w:t>were:</w:t>
      </w:r>
      <w:proofErr w:type="gramEnd"/>
      <w:r w:rsidR="001D3F29">
        <w:t xml:space="preserve"> Stage I to Stage II: 4 years (4.2724); Stage II to Stage III: 3 years (3.1811); </w:t>
      </w:r>
      <w:r w:rsidR="001D3F29" w:rsidRPr="001D3F29">
        <w:t>Stage III to Stage IV</w:t>
      </w:r>
      <w:r w:rsidR="001D3F29">
        <w:t>: 2 years (1.9537).</w:t>
      </w:r>
      <w:r w:rsidR="0054120C">
        <w:t xml:space="preserve"> The second scenario will rely on the similar assumptions as in the Grail model on the exponential progression of cancer with the Stage I to II progression be replaced with the double time from stage II to Stage III: 6.3622.</w:t>
      </w:r>
    </w:p>
    <w:p w14:paraId="6D6CD9B8" w14:textId="1064CAF1" w:rsidR="00B72735" w:rsidRDefault="00B72735" w:rsidP="00B56435">
      <w:pPr>
        <w:pStyle w:val="ListParagraph"/>
        <w:numPr>
          <w:ilvl w:val="0"/>
          <w:numId w:val="1"/>
        </w:numPr>
      </w:pPr>
      <w:r>
        <w:t>The shape should be the same on smaller for more advanced cancer</w:t>
      </w:r>
    </w:p>
    <w:p w14:paraId="4129E99A" w14:textId="4B3AC09D" w:rsidR="001D3F29" w:rsidRDefault="001D3F29" w:rsidP="001D3F29"/>
    <w:p w14:paraId="55B56122" w14:textId="77777777" w:rsidR="001D3F29" w:rsidRDefault="001D3F29" w:rsidP="001D3F29">
      <w:r>
        <w:t xml:space="preserve">The </w:t>
      </w:r>
      <w:proofErr w:type="gramStart"/>
      <w:r>
        <w:t>Delphi  study</w:t>
      </w:r>
      <w:proofErr w:type="gramEnd"/>
      <w:r>
        <w:t xml:space="preserve"> by </w:t>
      </w:r>
      <w:r w:rsidRPr="003250E5">
        <w:t>Broder</w:t>
      </w:r>
      <w:r>
        <w:t xml:space="preserve"> et al (2021) reports the time to progression to the next stage for undiagnosed cancer.</w:t>
      </w:r>
    </w:p>
    <w:tbl>
      <w:tblPr>
        <w:tblStyle w:val="PlainTable1"/>
        <w:tblW w:w="6200" w:type="dxa"/>
        <w:tblLook w:val="04A0" w:firstRow="1" w:lastRow="0" w:firstColumn="1" w:lastColumn="0" w:noHBand="0" w:noVBand="1"/>
      </w:tblPr>
      <w:tblGrid>
        <w:gridCol w:w="1400"/>
        <w:gridCol w:w="960"/>
        <w:gridCol w:w="960"/>
        <w:gridCol w:w="960"/>
        <w:gridCol w:w="960"/>
        <w:gridCol w:w="960"/>
      </w:tblGrid>
      <w:tr w:rsidR="0054120C" w:rsidRPr="003250E5" w14:paraId="024BC8BE" w14:textId="77CF69EB" w:rsidTr="00541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14:paraId="2A5C4452" w14:textId="77777777" w:rsidR="0054120C" w:rsidRPr="003250E5" w:rsidRDefault="0054120C" w:rsidP="0094155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Median time of BC progression:</w:t>
            </w:r>
          </w:p>
        </w:tc>
        <w:tc>
          <w:tcPr>
            <w:tcW w:w="1920" w:type="dxa"/>
            <w:gridSpan w:val="2"/>
            <w:noWrap/>
            <w:hideMark/>
          </w:tcPr>
          <w:p w14:paraId="30B5D801" w14:textId="1512A5FD" w:rsidR="0054120C" w:rsidRPr="003250E5" w:rsidRDefault="0054120C" w:rsidP="0094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B2C6C83" w14:textId="39C69738" w:rsidR="0054120C" w:rsidRPr="003250E5" w:rsidRDefault="0054120C" w:rsidP="0094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Median and range</w:t>
            </w:r>
            <w:r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 xml:space="preserve"> reported</w:t>
            </w:r>
          </w:p>
        </w:tc>
        <w:tc>
          <w:tcPr>
            <w:tcW w:w="960" w:type="dxa"/>
          </w:tcPr>
          <w:p w14:paraId="312D2A66" w14:textId="7B04BC39" w:rsidR="0054120C" w:rsidRPr="003250E5" w:rsidRDefault="0054120C" w:rsidP="0094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Cs/>
                <w:color w:val="000000"/>
                <w:sz w:val="18"/>
                <w:szCs w:val="18"/>
                <w:lang w:eastAsia="en-GB"/>
              </w:rPr>
              <w:t>Mean used in the base-case</w:t>
            </w:r>
          </w:p>
        </w:tc>
        <w:tc>
          <w:tcPr>
            <w:tcW w:w="960" w:type="dxa"/>
          </w:tcPr>
          <w:p w14:paraId="6B1F52FB" w14:textId="0E0DFCDF" w:rsidR="0054120C" w:rsidRPr="003250E5" w:rsidRDefault="0054120C" w:rsidP="0094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Cs/>
                <w:color w:val="000000"/>
                <w:sz w:val="18"/>
                <w:szCs w:val="18"/>
                <w:lang w:eastAsia="en-GB"/>
              </w:rPr>
              <w:t xml:space="preserve">Mean used in the </w:t>
            </w:r>
            <w:r>
              <w:rPr>
                <w:rFonts w:ascii="Calibri" w:eastAsia="Times New Roman" w:hAnsi="Calibri" w:cs="Calibri"/>
                <w:b w:val="0"/>
                <w:bCs w:val="0"/>
                <w:iCs/>
                <w:color w:val="000000"/>
                <w:sz w:val="18"/>
                <w:szCs w:val="18"/>
                <w:lang w:eastAsia="en-GB"/>
              </w:rPr>
              <w:t>scenario</w:t>
            </w:r>
          </w:p>
        </w:tc>
      </w:tr>
      <w:tr w:rsidR="0054120C" w:rsidRPr="003250E5" w14:paraId="6A472009" w14:textId="2BBF55B4" w:rsidTr="0054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gridSpan w:val="2"/>
            <w:hideMark/>
          </w:tcPr>
          <w:p w14:paraId="3060CAC3" w14:textId="77777777" w:rsidR="0054120C" w:rsidRPr="003250E5" w:rsidRDefault="0054120C" w:rsidP="0094155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Stage I to Stage II</w:t>
            </w:r>
          </w:p>
        </w:tc>
        <w:tc>
          <w:tcPr>
            <w:tcW w:w="960" w:type="dxa"/>
            <w:noWrap/>
          </w:tcPr>
          <w:p w14:paraId="0C4F54FD" w14:textId="12A40927" w:rsidR="0054120C" w:rsidRPr="003250E5" w:rsidRDefault="0054120C" w:rsidP="009415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A7C3697" w14:textId="77777777" w:rsidR="0054120C" w:rsidRPr="003250E5" w:rsidRDefault="0054120C" w:rsidP="0094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3 (1-7)</w:t>
            </w:r>
          </w:p>
        </w:tc>
        <w:tc>
          <w:tcPr>
            <w:tcW w:w="960" w:type="dxa"/>
          </w:tcPr>
          <w:p w14:paraId="6A61A894" w14:textId="6986EDE5" w:rsidR="0054120C" w:rsidRPr="003250E5" w:rsidRDefault="0054120C" w:rsidP="0094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</w:pPr>
            <w:r>
              <w:t>4.2724</w:t>
            </w:r>
          </w:p>
        </w:tc>
        <w:tc>
          <w:tcPr>
            <w:tcW w:w="960" w:type="dxa"/>
          </w:tcPr>
          <w:p w14:paraId="6647B13B" w14:textId="189A5ADE" w:rsidR="0054120C" w:rsidRPr="003250E5" w:rsidRDefault="0054120C" w:rsidP="0094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</w:pPr>
            <w:r>
              <w:t>6.3622</w:t>
            </w:r>
          </w:p>
        </w:tc>
      </w:tr>
      <w:tr w:rsidR="0054120C" w:rsidRPr="003250E5" w14:paraId="2821882E" w14:textId="67671247" w:rsidTr="005412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gridSpan w:val="2"/>
            <w:hideMark/>
          </w:tcPr>
          <w:p w14:paraId="45A4E9A9" w14:textId="77777777" w:rsidR="0054120C" w:rsidRPr="003250E5" w:rsidRDefault="0054120C" w:rsidP="0054120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Stage II to Stage III</w:t>
            </w:r>
          </w:p>
        </w:tc>
        <w:tc>
          <w:tcPr>
            <w:tcW w:w="960" w:type="dxa"/>
            <w:noWrap/>
          </w:tcPr>
          <w:p w14:paraId="62A4E3EA" w14:textId="39FFCD6C" w:rsidR="0054120C" w:rsidRPr="003250E5" w:rsidRDefault="0054120C" w:rsidP="005412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AC87AF2" w14:textId="77777777" w:rsidR="0054120C" w:rsidRPr="003250E5" w:rsidRDefault="0054120C" w:rsidP="00541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2 (1-5)</w:t>
            </w:r>
          </w:p>
        </w:tc>
        <w:tc>
          <w:tcPr>
            <w:tcW w:w="960" w:type="dxa"/>
          </w:tcPr>
          <w:p w14:paraId="25AA304C" w14:textId="286FC90B" w:rsidR="0054120C" w:rsidRPr="003250E5" w:rsidRDefault="0054120C" w:rsidP="00541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</w:pPr>
            <w:r>
              <w:t>3.1811</w:t>
            </w:r>
          </w:p>
        </w:tc>
        <w:tc>
          <w:tcPr>
            <w:tcW w:w="960" w:type="dxa"/>
          </w:tcPr>
          <w:p w14:paraId="78351292" w14:textId="067D6B74" w:rsidR="0054120C" w:rsidRPr="003250E5" w:rsidRDefault="0054120C" w:rsidP="00541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</w:pPr>
            <w:r>
              <w:t>3.1811</w:t>
            </w:r>
          </w:p>
        </w:tc>
      </w:tr>
      <w:tr w:rsidR="0054120C" w:rsidRPr="003250E5" w14:paraId="3C55C4C3" w14:textId="271650A5" w:rsidTr="0054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gridSpan w:val="2"/>
            <w:hideMark/>
          </w:tcPr>
          <w:p w14:paraId="297226B4" w14:textId="77777777" w:rsidR="0054120C" w:rsidRPr="003250E5" w:rsidRDefault="0054120C" w:rsidP="0054120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Stage III to Stage IV</w:t>
            </w:r>
          </w:p>
        </w:tc>
        <w:tc>
          <w:tcPr>
            <w:tcW w:w="960" w:type="dxa"/>
            <w:noWrap/>
          </w:tcPr>
          <w:p w14:paraId="1B4380A3" w14:textId="2578812D" w:rsidR="0054120C" w:rsidRPr="003250E5" w:rsidRDefault="0054120C" w:rsidP="005412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7AABE5E" w14:textId="77777777" w:rsidR="0054120C" w:rsidRPr="003250E5" w:rsidRDefault="0054120C" w:rsidP="0054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&lt;1(&lt;1-4)</w:t>
            </w:r>
          </w:p>
        </w:tc>
        <w:tc>
          <w:tcPr>
            <w:tcW w:w="960" w:type="dxa"/>
          </w:tcPr>
          <w:p w14:paraId="0F7DBAD4" w14:textId="2252A2A6" w:rsidR="0054120C" w:rsidRPr="003250E5" w:rsidRDefault="0054120C" w:rsidP="0054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</w:pPr>
            <w:r>
              <w:t>1.9537</w:t>
            </w:r>
          </w:p>
        </w:tc>
        <w:tc>
          <w:tcPr>
            <w:tcW w:w="960" w:type="dxa"/>
          </w:tcPr>
          <w:p w14:paraId="1E20891C" w14:textId="148FECC0" w:rsidR="0054120C" w:rsidRPr="003250E5" w:rsidRDefault="0054120C" w:rsidP="0054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</w:pPr>
            <w:r>
              <w:t>1.9537</w:t>
            </w:r>
          </w:p>
        </w:tc>
      </w:tr>
    </w:tbl>
    <w:p w14:paraId="27FC18A2" w14:textId="0D49D147" w:rsidR="001D3F29" w:rsidRDefault="001D3F29" w:rsidP="001D3F29"/>
    <w:p w14:paraId="63EE3CC6" w14:textId="459E69AC" w:rsidR="001D3F29" w:rsidRDefault="001D3F29">
      <w:r>
        <w:br w:type="page"/>
      </w:r>
    </w:p>
    <w:p w14:paraId="6948BAFB" w14:textId="77777777" w:rsidR="001D3F29" w:rsidRDefault="001D3F29" w:rsidP="001D3F29"/>
    <w:p w14:paraId="7A3124DE" w14:textId="1D126CF8" w:rsidR="003250E5" w:rsidRDefault="003250E5" w:rsidP="003250E5">
      <w:r>
        <w:t>Grail study by Hubbell et al (2021) used the following assumptions [based on the researchers’ opinion] about 4 possible options for cancer progression, - the time the person stays in the health state before either (a) progress to the next stage or (b) get diagnosed.</w:t>
      </w:r>
      <w:r w:rsidR="00A16BF1">
        <w:t xml:space="preserve"> They used the assumption on the shape in Weibull distribution of 1. </w:t>
      </w:r>
    </w:p>
    <w:p w14:paraId="4B172EB0" w14:textId="5366F193" w:rsidR="003250E5" w:rsidRDefault="003250E5" w:rsidP="003250E5"/>
    <w:p w14:paraId="2F4E73DD" w14:textId="20798566" w:rsidR="003250E5" w:rsidRDefault="003250E5" w:rsidP="003250E5">
      <w:r>
        <w:t>Table 1. Mean time in a health state before a person either (a) progress to the next stage or (b) get diagnosed Grail study by Hubbell et al (2021)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400"/>
        <w:gridCol w:w="960"/>
        <w:gridCol w:w="960"/>
        <w:gridCol w:w="960"/>
        <w:gridCol w:w="960"/>
      </w:tblGrid>
      <w:tr w:rsidR="003250E5" w:rsidRPr="003250E5" w14:paraId="3625B2B8" w14:textId="77777777" w:rsidTr="003250E5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7AD9" w14:textId="70FF5EB0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9E2A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Vslow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8819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Slow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14ED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Fast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AD07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AggFast</w:t>
            </w:r>
            <w:proofErr w:type="spellEnd"/>
          </w:p>
        </w:tc>
      </w:tr>
      <w:tr w:rsidR="003250E5" w:rsidRPr="003250E5" w14:paraId="66397EC9" w14:textId="77777777" w:rsidTr="003250E5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1A21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Time in stage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434D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640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CE58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EF8A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250E5" w:rsidRPr="003250E5" w14:paraId="4175E443" w14:textId="77777777" w:rsidTr="003250E5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D650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871E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4B62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E55D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6E0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3250E5" w:rsidRPr="003250E5" w14:paraId="31A65660" w14:textId="77777777" w:rsidTr="003250E5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C5F7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7696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3AE0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69CF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FA26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3250E5" w:rsidRPr="003250E5" w14:paraId="1F4DB824" w14:textId="77777777" w:rsidTr="003250E5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8128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507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9427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8AB1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58C8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</w:tr>
      <w:tr w:rsidR="003250E5" w:rsidRPr="003250E5" w14:paraId="0C17D88D" w14:textId="77777777" w:rsidTr="003250E5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FB7F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F660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A667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9BFB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A8A7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</w:tr>
    </w:tbl>
    <w:p w14:paraId="1F688508" w14:textId="2A520E7E" w:rsidR="003250E5" w:rsidRDefault="003250E5" w:rsidP="003250E5"/>
    <w:p w14:paraId="2902BC42" w14:textId="002D5987" w:rsidR="003250E5" w:rsidRDefault="003250E5" w:rsidP="003250E5">
      <w:r>
        <w:t xml:space="preserve">The </w:t>
      </w:r>
      <w:proofErr w:type="gramStart"/>
      <w:r>
        <w:t>Delphi  study</w:t>
      </w:r>
      <w:proofErr w:type="gramEnd"/>
      <w:r>
        <w:t xml:space="preserve"> by </w:t>
      </w:r>
      <w:r w:rsidRPr="003250E5">
        <w:t>Broder</w:t>
      </w:r>
      <w:r>
        <w:t xml:space="preserve"> et al (2021) reports the time to progression to the next stage for undiagnosed cancer.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1400"/>
        <w:gridCol w:w="960"/>
        <w:gridCol w:w="960"/>
        <w:gridCol w:w="960"/>
      </w:tblGrid>
      <w:tr w:rsidR="003250E5" w:rsidRPr="003250E5" w14:paraId="2A7853B4" w14:textId="77777777" w:rsidTr="003250E5">
        <w:trPr>
          <w:trHeight w:val="495"/>
        </w:trPr>
        <w:tc>
          <w:tcPr>
            <w:tcW w:w="14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B6E0069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b/>
                <w:bCs/>
                <w:iCs/>
                <w:color w:val="000000"/>
                <w:sz w:val="18"/>
                <w:szCs w:val="18"/>
                <w:lang w:eastAsia="en-GB"/>
              </w:rPr>
              <w:t>Median time of BC progression:</w:t>
            </w:r>
          </w:p>
        </w:tc>
        <w:tc>
          <w:tcPr>
            <w:tcW w:w="192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61273BD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b/>
                <w:bCs/>
                <w:iCs/>
                <w:color w:val="000000"/>
                <w:sz w:val="18"/>
                <w:szCs w:val="18"/>
                <w:lang w:eastAsia="en-GB"/>
              </w:rPr>
              <w:t>Median and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1151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3250E5" w:rsidRPr="003250E5" w14:paraId="41616758" w14:textId="77777777" w:rsidTr="003250E5">
        <w:trPr>
          <w:trHeight w:val="315"/>
        </w:trPr>
        <w:tc>
          <w:tcPr>
            <w:tcW w:w="236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52FDCDB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Stage I to Stage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7838ADCC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1706F0F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3 (1-7)</w:t>
            </w:r>
          </w:p>
        </w:tc>
      </w:tr>
      <w:tr w:rsidR="003250E5" w:rsidRPr="003250E5" w14:paraId="1C37F6C3" w14:textId="77777777" w:rsidTr="003250E5">
        <w:trPr>
          <w:trHeight w:val="315"/>
        </w:trPr>
        <w:tc>
          <w:tcPr>
            <w:tcW w:w="236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0C66D17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Stage II to Stage III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E831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7BAA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2 (1-5)</w:t>
            </w:r>
          </w:p>
        </w:tc>
      </w:tr>
      <w:tr w:rsidR="003250E5" w:rsidRPr="003250E5" w14:paraId="1375104F" w14:textId="77777777" w:rsidTr="003250E5">
        <w:trPr>
          <w:trHeight w:val="315"/>
        </w:trPr>
        <w:tc>
          <w:tcPr>
            <w:tcW w:w="236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A024DB0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Stage III to Stage IV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356B3147" w14:textId="77777777" w:rsidR="003250E5" w:rsidRPr="003250E5" w:rsidRDefault="003250E5" w:rsidP="00325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noWrap/>
            <w:vAlign w:val="center"/>
            <w:hideMark/>
          </w:tcPr>
          <w:p w14:paraId="6C4E508D" w14:textId="77777777" w:rsidR="003250E5" w:rsidRPr="003250E5" w:rsidRDefault="003250E5" w:rsidP="00325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250E5">
              <w:rPr>
                <w:rFonts w:ascii="Calibri" w:eastAsia="Times New Roman" w:hAnsi="Calibri" w:cs="Calibri"/>
                <w:iCs/>
                <w:color w:val="000000"/>
                <w:sz w:val="18"/>
                <w:szCs w:val="18"/>
                <w:lang w:eastAsia="en-GB"/>
              </w:rPr>
              <w:t>&lt;1(&lt;1-4)</w:t>
            </w:r>
          </w:p>
        </w:tc>
      </w:tr>
    </w:tbl>
    <w:p w14:paraId="77DCC5AF" w14:textId="43B4B310" w:rsidR="003250E5" w:rsidRDefault="003250E5" w:rsidP="003250E5"/>
    <w:p w14:paraId="06464B27" w14:textId="48BA19D3" w:rsidR="00A16BF1" w:rsidRDefault="00A16BF1" w:rsidP="003250E5">
      <w:r>
        <w:t>Using this two tables the probability to get diagnosed during one year for a person in each particular cancer state may be estimated (very roughly) as: = 1</w:t>
      </w:r>
      <w:proofErr w:type="gramStart"/>
      <w:r>
        <w:t>/(</w:t>
      </w:r>
      <w:proofErr w:type="gramEnd"/>
      <w:r>
        <w:t>mean time in the health state + mean time to progression) (Table 3).</w:t>
      </w:r>
    </w:p>
    <w:p w14:paraId="267D9F8D" w14:textId="0844B9C7" w:rsidR="00A16BF1" w:rsidRDefault="00A16BF1" w:rsidP="003250E5">
      <w:r>
        <w:t xml:space="preserve">Table 3. 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042"/>
        <w:gridCol w:w="1318"/>
        <w:gridCol w:w="960"/>
        <w:gridCol w:w="1053"/>
        <w:gridCol w:w="1053"/>
        <w:gridCol w:w="1055"/>
      </w:tblGrid>
      <w:tr w:rsidR="00A16BF1" w:rsidRPr="00A16BF1" w14:paraId="574BF35D" w14:textId="77777777" w:rsidTr="00A16BF1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62376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Probability of diagnosis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B3931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DBFAE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F3681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AA07E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6BF1" w:rsidRPr="00A16BF1" w14:paraId="51D7C4E8" w14:textId="77777777" w:rsidTr="00A16BF1">
        <w:trPr>
          <w:trHeight w:val="300"/>
        </w:trPr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1EB7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37B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Vslow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DF2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Slow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74D9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Fast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6AB2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AggFast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FB8A" w14:textId="36F3E8E0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across the scenarios</w:t>
            </w:r>
          </w:p>
        </w:tc>
      </w:tr>
      <w:tr w:rsidR="00A16BF1" w:rsidRPr="00A16BF1" w14:paraId="04116AB0" w14:textId="77777777" w:rsidTr="00A16BF1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E826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Stage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DAE9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0.076923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0612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A9D2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0.142857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A97E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1633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0.129945</w:t>
            </w:r>
          </w:p>
        </w:tc>
      </w:tr>
      <w:tr w:rsidR="00A16BF1" w:rsidRPr="00A16BF1" w14:paraId="0D936329" w14:textId="77777777" w:rsidTr="00A16BF1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9258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Stage 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A7B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2995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1E5B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722F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48D8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0.2375</w:t>
            </w:r>
          </w:p>
        </w:tc>
      </w:tr>
      <w:tr w:rsidR="00A16BF1" w:rsidRPr="00A16BF1" w14:paraId="6493200A" w14:textId="77777777" w:rsidTr="00A16BF1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C374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Stage 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35C0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BCD9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B038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1095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25D4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</w:tr>
      <w:tr w:rsidR="00A16BF1" w:rsidRPr="00A16BF1" w14:paraId="59F84586" w14:textId="77777777" w:rsidTr="00A16BF1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0FA5E" w14:textId="77777777" w:rsidR="00A16BF1" w:rsidRPr="00A16BF1" w:rsidRDefault="00A16BF1" w:rsidP="00A16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Stage 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1E715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B8B7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D2523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695B1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98961" w14:textId="77777777" w:rsidR="00A16BF1" w:rsidRPr="00A16BF1" w:rsidRDefault="00A16BF1" w:rsidP="00A16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BF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14:paraId="4D3FA968" w14:textId="77777777" w:rsidR="00A16BF1" w:rsidRDefault="00A16BF1" w:rsidP="003250E5"/>
    <w:p w14:paraId="613A73EF" w14:textId="7F0DFBC4" w:rsidR="003250E5" w:rsidRDefault="00A16BF1" w:rsidP="003250E5">
      <w:r>
        <w:t>There are multiple options how to use these data in the new model:</w:t>
      </w:r>
    </w:p>
    <w:p w14:paraId="34231B79" w14:textId="6D8145D5" w:rsidR="003250E5" w:rsidRDefault="003250E5" w:rsidP="003250E5">
      <w:r>
        <w:lastRenderedPageBreak/>
        <w:t xml:space="preserve">Option 1. </w:t>
      </w:r>
      <w:proofErr w:type="gramStart"/>
      <w:r w:rsidR="00A16BF1">
        <w:t>Similar to</w:t>
      </w:r>
      <w:proofErr w:type="gramEnd"/>
      <w:r w:rsidR="00A16BF1">
        <w:t xml:space="preserve"> the first model, use the mean time from </w:t>
      </w:r>
      <w:r w:rsidR="00A16BF1" w:rsidRPr="003250E5">
        <w:t>Broder</w:t>
      </w:r>
      <w:r w:rsidR="00A16BF1">
        <w:t xml:space="preserve"> et al (2021), and set the distributions around the mean symptomatic presentation rate as the mean across the scenarios (Table 3 last column) (use beta, calculate from the set mean and the calibration).</w:t>
      </w:r>
    </w:p>
    <w:p w14:paraId="1360F9BD" w14:textId="717AAE61" w:rsidR="00A16BF1" w:rsidRDefault="00A16BF1" w:rsidP="003250E5">
      <w:r>
        <w:t xml:space="preserve">Option 2. </w:t>
      </w:r>
      <w:proofErr w:type="gramStart"/>
      <w:r>
        <w:t>Similar to</w:t>
      </w:r>
      <w:proofErr w:type="gramEnd"/>
      <w:r>
        <w:t xml:space="preserve"> the first model, use the mean time from </w:t>
      </w:r>
      <w:r w:rsidRPr="003250E5">
        <w:t>Broder</w:t>
      </w:r>
      <w:r>
        <w:t xml:space="preserve"> et al (2021), and set the priors on diagnostic rate to be within the range from slow to fast in the Table 3.</w:t>
      </w:r>
    </w:p>
    <w:p w14:paraId="5150CFD5" w14:textId="25989D58" w:rsidR="00A16BF1" w:rsidRDefault="00A16BF1" w:rsidP="003250E5">
      <w:r>
        <w:t xml:space="preserve">Option 3. To do a few models: one based on </w:t>
      </w:r>
      <w:r w:rsidRPr="003250E5">
        <w:t>Broder</w:t>
      </w:r>
      <w:r>
        <w:t xml:space="preserve"> et al (2021) and another one on a slower progressing cancer assumption </w:t>
      </w:r>
      <w:r w:rsidR="003D6B9D">
        <w:t>(7,3,2 years, slow scenario).</w:t>
      </w:r>
    </w:p>
    <w:p w14:paraId="682AFAC8" w14:textId="448E8BA8" w:rsidR="003D6B9D" w:rsidRDefault="003D6B9D" w:rsidP="003250E5">
      <w:r>
        <w:t xml:space="preserve">Option 4. Incorporating all the uncertainty (almost). Sampling the mean time from a distribution (uniform or truncated normal within the range in the table 1) and fixing the shape to 1. (a) fixing the </w:t>
      </w:r>
      <w:proofErr w:type="spellStart"/>
      <w:r>
        <w:t>sympt</w:t>
      </w:r>
      <w:proofErr w:type="spellEnd"/>
      <w:r>
        <w:t xml:space="preserve"> presentation rate to one in Table 3 or (b) calibrating </w:t>
      </w:r>
      <w:proofErr w:type="spellStart"/>
      <w:r>
        <w:t>sympt</w:t>
      </w:r>
      <w:proofErr w:type="spellEnd"/>
      <w:r>
        <w:t xml:space="preserve"> presentation with the priors in table 3. </w:t>
      </w:r>
    </w:p>
    <w:p w14:paraId="1F3A0EAA" w14:textId="15B6AB21" w:rsidR="003D6B9D" w:rsidRDefault="003D6B9D" w:rsidP="003D6B9D">
      <w:r>
        <w:t xml:space="preserve">Option 5. Incorporating all the uncertainty. Sampling the mean time from a distribution (uniform or truncated normal within the range in the table 1) and the shape. (a) fixing the </w:t>
      </w:r>
      <w:proofErr w:type="spellStart"/>
      <w:r>
        <w:t>sympt</w:t>
      </w:r>
      <w:proofErr w:type="spellEnd"/>
      <w:r>
        <w:t xml:space="preserve"> presentation rate to one in Table 3 or (b) calibrating </w:t>
      </w:r>
      <w:proofErr w:type="spellStart"/>
      <w:r>
        <w:t>sympt</w:t>
      </w:r>
      <w:proofErr w:type="spellEnd"/>
      <w:r>
        <w:t xml:space="preserve"> presentation with the priors in table 3. </w:t>
      </w:r>
    </w:p>
    <w:p w14:paraId="2DB38DE2" w14:textId="11514483" w:rsidR="003D6B9D" w:rsidRDefault="003D6B9D" w:rsidP="003D6B9D"/>
    <w:p w14:paraId="704EF25B" w14:textId="77777777" w:rsidR="003D6B9D" w:rsidRDefault="003D6B9D" w:rsidP="003250E5"/>
    <w:sectPr w:rsidR="003D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33C79"/>
    <w:multiLevelType w:val="hybridMultilevel"/>
    <w:tmpl w:val="EA36A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1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35"/>
    <w:rsid w:val="001D3F29"/>
    <w:rsid w:val="003250E5"/>
    <w:rsid w:val="003D6B9D"/>
    <w:rsid w:val="0054120C"/>
    <w:rsid w:val="008C0DD6"/>
    <w:rsid w:val="00A16BF1"/>
    <w:rsid w:val="00B56435"/>
    <w:rsid w:val="00B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1B55"/>
  <w15:chartTrackingRefBased/>
  <w15:docId w15:val="{6A9CA10B-47AE-4F9F-A095-EDBD4E83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35"/>
    <w:pPr>
      <w:ind w:left="720"/>
      <w:contextualSpacing/>
    </w:pPr>
  </w:style>
  <w:style w:type="table" w:styleId="PlainTable2">
    <w:name w:val="Plain Table 2"/>
    <w:basedOn w:val="TableNormal"/>
    <w:uiPriority w:val="42"/>
    <w:rsid w:val="005412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412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Mandrik</dc:creator>
  <cp:keywords/>
  <dc:description/>
  <cp:lastModifiedBy>Olena Mandrik</cp:lastModifiedBy>
  <cp:revision>2</cp:revision>
  <dcterms:created xsi:type="dcterms:W3CDTF">2023-06-27T14:00:00Z</dcterms:created>
  <dcterms:modified xsi:type="dcterms:W3CDTF">2023-06-28T15:48:00Z</dcterms:modified>
</cp:coreProperties>
</file>