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F69A" w14:textId="22BA1B81" w:rsidR="0075010D" w:rsidRPr="001B6A8E" w:rsidRDefault="0075010D" w:rsidP="0075010D">
      <w:pPr>
        <w:rPr>
          <w:rFonts w:eastAsia="Times New Roman" w:cstheme="minorHAnsi"/>
          <w:b/>
          <w:bCs/>
          <w:color w:val="333333"/>
          <w:sz w:val="40"/>
          <w:szCs w:val="40"/>
        </w:rPr>
      </w:pPr>
      <w:r w:rsidRPr="0075010D">
        <w:rPr>
          <w:rFonts w:eastAsia="Times New Roman" w:cstheme="minorHAnsi"/>
          <w:b/>
          <w:bCs/>
          <w:color w:val="333333"/>
          <w:sz w:val="40"/>
          <w:szCs w:val="40"/>
        </w:rPr>
        <w:t>Investigating 3C273 with NuSTAR</w:t>
      </w:r>
    </w:p>
    <w:p w14:paraId="58BDF875" w14:textId="77777777" w:rsidR="001B6A8E" w:rsidRPr="0075010D" w:rsidRDefault="001B6A8E" w:rsidP="0075010D">
      <w:pPr>
        <w:rPr>
          <w:rFonts w:eastAsia="Times New Roman" w:cstheme="minorHAnsi"/>
        </w:rPr>
      </w:pPr>
    </w:p>
    <w:p w14:paraId="3B7BF46F" w14:textId="0656DC75" w:rsidR="001B6A8E" w:rsidRPr="0075010D" w:rsidRDefault="001B6A8E" w:rsidP="0075010D">
      <w:pPr>
        <w:rPr>
          <w:rFonts w:eastAsia="Times New Roman" w:cstheme="minorHAnsi"/>
          <w:color w:val="333333"/>
        </w:rPr>
      </w:pPr>
      <w:r w:rsidRPr="001B6A8E">
        <w:rPr>
          <w:rFonts w:eastAsia="Times New Roman" w:cstheme="minorHAnsi"/>
          <w:color w:val="333333"/>
        </w:rPr>
        <w:t>Lena Wu</w:t>
      </w:r>
    </w:p>
    <w:p w14:paraId="13F017E6" w14:textId="2DBBB215" w:rsidR="0075010D" w:rsidRPr="0075010D" w:rsidRDefault="001B6A8E" w:rsidP="0075010D">
      <w:pPr>
        <w:rPr>
          <w:rFonts w:eastAsia="Times New Roman" w:cstheme="minorHAnsi"/>
        </w:rPr>
      </w:pPr>
      <w:r w:rsidRPr="001B6A8E">
        <w:rPr>
          <w:rFonts w:eastAsia="Times New Roman" w:cstheme="minorHAnsi"/>
          <w:color w:val="333333"/>
        </w:rPr>
        <w:t xml:space="preserve">Mentors: </w:t>
      </w:r>
      <w:r w:rsidR="002A15EC">
        <w:rPr>
          <w:rFonts w:eastAsia="Times New Roman" w:cstheme="minorHAnsi"/>
          <w:color w:val="333333"/>
        </w:rPr>
        <w:t xml:space="preserve">Fiona Harrison, </w:t>
      </w:r>
      <w:r w:rsidR="0075010D" w:rsidRPr="0075010D">
        <w:rPr>
          <w:rFonts w:eastAsia="Times New Roman" w:cstheme="minorHAnsi"/>
          <w:color w:val="333333"/>
        </w:rPr>
        <w:t>Murray Brightman</w:t>
      </w:r>
      <w:r w:rsidR="002A15EC">
        <w:rPr>
          <w:rFonts w:eastAsia="Times New Roman" w:cstheme="minorHAnsi"/>
          <w:color w:val="333333"/>
        </w:rPr>
        <w:t>,</w:t>
      </w:r>
      <w:r w:rsidR="0075010D" w:rsidRPr="0075010D">
        <w:rPr>
          <w:rFonts w:eastAsia="Times New Roman" w:cstheme="minorHAnsi"/>
          <w:color w:val="333333"/>
        </w:rPr>
        <w:t xml:space="preserve"> Kristin Madsen</w:t>
      </w:r>
    </w:p>
    <w:p w14:paraId="7CD18E92" w14:textId="77777777" w:rsidR="0075010D" w:rsidRPr="0075010D" w:rsidRDefault="0075010D" w:rsidP="0075010D">
      <w:pPr>
        <w:spacing w:after="240"/>
        <w:rPr>
          <w:rFonts w:eastAsia="Times New Roman" w:cstheme="minorHAnsi"/>
        </w:rPr>
      </w:pPr>
    </w:p>
    <w:p w14:paraId="0E5763D7" w14:textId="77777777" w:rsidR="0075010D" w:rsidRPr="0075010D" w:rsidRDefault="0075010D" w:rsidP="0075010D">
      <w:pPr>
        <w:rPr>
          <w:rFonts w:eastAsia="Times New Roman" w:cstheme="minorHAnsi"/>
          <w:sz w:val="30"/>
          <w:szCs w:val="30"/>
        </w:rPr>
      </w:pPr>
      <w:r w:rsidRPr="0075010D">
        <w:rPr>
          <w:rFonts w:eastAsia="Times New Roman" w:cstheme="minorHAnsi"/>
          <w:b/>
          <w:bCs/>
          <w:color w:val="333333"/>
          <w:sz w:val="30"/>
          <w:szCs w:val="30"/>
          <w:shd w:val="clear" w:color="auto" w:fill="FFFFFF"/>
        </w:rPr>
        <w:t>Abstract</w:t>
      </w:r>
    </w:p>
    <w:p w14:paraId="499DD8B1" w14:textId="22D2A550" w:rsidR="0075010D" w:rsidRPr="0075010D" w:rsidRDefault="0075010D" w:rsidP="001B6A8E">
      <w:pPr>
        <w:ind w:firstLine="720"/>
        <w:rPr>
          <w:rFonts w:eastAsia="Times New Roman" w:cstheme="minorHAnsi"/>
        </w:rPr>
      </w:pPr>
      <w:r w:rsidRPr="0075010D">
        <w:rPr>
          <w:rFonts w:eastAsia="Times New Roman" w:cstheme="minorHAnsi"/>
          <w:color w:val="333333"/>
          <w:shd w:val="clear" w:color="auto" w:fill="FFFFFF"/>
        </w:rPr>
        <w:t xml:space="preserve">The results obtained from ten X-ray observations spanning 2015-2021 on the quasar 3C273 performed by NuSTAR are presented here. The aim of this paper is to study the short and long-term evolution of the spectrum of 3C273. Evidence of complex spectral features such as soft excess, Fe K emission line, flux and spectral correlated variability are presented. We explain these features as arising from the structure of the accretion disk and coronal emission. The combined spectrum is well-described by an exponentially cutoff power-law which self-consistently includes the iron line and a weak reflection component from cold, dense material (pexmon). By comparing each NuSTAR observation when fit with the pexmon model, we can investigate the spectral variability of 3C273 over time. At radio to millimeter and at gamma-ray energies, flares from the relativistic jet dominate the variability of 3C273. Considering Fermi and Bats observations on 3C273, </w:t>
      </w:r>
      <w:r w:rsidR="001B6A8E" w:rsidRPr="001B6A8E">
        <w:rPr>
          <w:rFonts w:eastAsia="Times New Roman" w:cstheme="minorHAnsi"/>
          <w:color w:val="333333"/>
          <w:shd w:val="clear" w:color="auto" w:fill="FFFFFF"/>
        </w:rPr>
        <w:t>it appears that jet</w:t>
      </w:r>
      <w:r w:rsidRPr="0075010D">
        <w:rPr>
          <w:rFonts w:eastAsia="Times New Roman" w:cstheme="minorHAnsi"/>
          <w:color w:val="333333"/>
          <w:shd w:val="clear" w:color="auto" w:fill="FFFFFF"/>
        </w:rPr>
        <w:t xml:space="preserve"> activity affected the NuSTAR data in the X-ray band. Correlation studies on the source indicate a direct relationship between the cutoff energy and photon index as well as an inverse correlation between the flux and photon index. </w:t>
      </w:r>
      <w:r w:rsidRPr="0075010D">
        <w:rPr>
          <w:rFonts w:eastAsia="Times New Roman" w:cstheme="minorHAnsi"/>
          <w:color w:val="000000"/>
        </w:rPr>
        <w:t>Finally, by examining the long-term trend of the spectral index of 3C273, we can see that the source has softened over time. </w:t>
      </w:r>
    </w:p>
    <w:p w14:paraId="6A9530A2" w14:textId="77777777" w:rsidR="0075010D" w:rsidRPr="0075010D" w:rsidRDefault="0075010D" w:rsidP="0075010D">
      <w:pPr>
        <w:rPr>
          <w:rFonts w:eastAsia="Times New Roman" w:cstheme="minorHAnsi"/>
        </w:rPr>
      </w:pPr>
    </w:p>
    <w:p w14:paraId="210D2469" w14:textId="56A463A8" w:rsidR="0075010D" w:rsidRDefault="0075010D" w:rsidP="00E152A0">
      <w:pPr>
        <w:tabs>
          <w:tab w:val="left" w:pos="2420"/>
        </w:tabs>
        <w:rPr>
          <w:rFonts w:eastAsia="Times New Roman" w:cstheme="minorHAnsi"/>
          <w:b/>
          <w:bCs/>
          <w:color w:val="333333"/>
          <w:sz w:val="30"/>
          <w:szCs w:val="30"/>
          <w:shd w:val="clear" w:color="auto" w:fill="FFFFFF"/>
        </w:rPr>
      </w:pPr>
      <w:r w:rsidRPr="0075010D">
        <w:rPr>
          <w:rFonts w:eastAsia="Times New Roman" w:cstheme="minorHAnsi"/>
          <w:b/>
          <w:bCs/>
          <w:color w:val="333333"/>
          <w:sz w:val="30"/>
          <w:szCs w:val="30"/>
          <w:shd w:val="clear" w:color="auto" w:fill="FFFFFF"/>
        </w:rPr>
        <w:t>Background</w:t>
      </w:r>
      <w:r w:rsidR="00E152A0">
        <w:rPr>
          <w:rFonts w:eastAsia="Times New Roman" w:cstheme="minorHAnsi"/>
          <w:b/>
          <w:bCs/>
          <w:color w:val="333333"/>
          <w:sz w:val="30"/>
          <w:szCs w:val="30"/>
          <w:shd w:val="clear" w:color="auto" w:fill="FFFFFF"/>
        </w:rPr>
        <w:tab/>
      </w:r>
    </w:p>
    <w:p w14:paraId="7B8FFE2B" w14:textId="77777777" w:rsidR="00E152A0" w:rsidRDefault="00E152A0" w:rsidP="00E152A0">
      <w:pPr>
        <w:tabs>
          <w:tab w:val="left" w:pos="2420"/>
        </w:tabs>
        <w:rPr>
          <w:rFonts w:eastAsia="Times New Roman" w:cstheme="minorHAnsi"/>
          <w:b/>
          <w:bCs/>
          <w:color w:val="333333"/>
          <w:sz w:val="30"/>
          <w:szCs w:val="30"/>
          <w:shd w:val="clear" w:color="auto" w:fill="FFFFFF"/>
        </w:rPr>
      </w:pPr>
    </w:p>
    <w:p w14:paraId="46C24A59" w14:textId="44B88B51" w:rsidR="00E152A0" w:rsidRPr="0075010D" w:rsidRDefault="00E152A0" w:rsidP="00E152A0">
      <w:pPr>
        <w:tabs>
          <w:tab w:val="left" w:pos="2420"/>
        </w:tabs>
        <w:rPr>
          <w:rFonts w:eastAsia="Times New Roman" w:cstheme="minorHAnsi"/>
          <w:b/>
          <w:bCs/>
          <w:color w:val="000000" w:themeColor="text1"/>
        </w:rPr>
      </w:pPr>
      <w:r w:rsidRPr="00E152A0">
        <w:rPr>
          <w:rFonts w:eastAsia="Times New Roman" w:cstheme="minorHAnsi"/>
          <w:b/>
          <w:bCs/>
          <w:color w:val="000000" w:themeColor="text1"/>
          <w:shd w:val="clear" w:color="auto" w:fill="FFFFFF"/>
        </w:rPr>
        <w:t>3C273 and the Relativistic Jet</w:t>
      </w:r>
    </w:p>
    <w:p w14:paraId="28D66A91" w14:textId="7348ABF0" w:rsidR="0075010D" w:rsidRDefault="0075010D" w:rsidP="00042355">
      <w:pPr>
        <w:ind w:firstLine="720"/>
        <w:rPr>
          <w:rFonts w:eastAsia="Times New Roman" w:cstheme="minorHAnsi"/>
          <w:color w:val="000000"/>
        </w:rPr>
      </w:pPr>
      <w:r w:rsidRPr="0075010D">
        <w:rPr>
          <w:rFonts w:eastAsia="Times New Roman" w:cstheme="minorHAnsi"/>
          <w:color w:val="000000"/>
        </w:rPr>
        <w:t xml:space="preserve">3C273 is one of the nearest and brightest quasars, featuring a relativistic jet showing </w:t>
      </w:r>
      <w:r w:rsidR="001B6A8E" w:rsidRPr="0075010D">
        <w:rPr>
          <w:rFonts w:eastAsia="Times New Roman" w:cstheme="minorHAnsi"/>
          <w:color w:val="000000"/>
        </w:rPr>
        <w:t>superluminal</w:t>
      </w:r>
      <w:r w:rsidRPr="0075010D">
        <w:rPr>
          <w:rFonts w:eastAsia="Times New Roman" w:cstheme="minorHAnsi"/>
          <w:color w:val="000000"/>
        </w:rPr>
        <w:t xml:space="preserve"> motion. </w:t>
      </w:r>
      <w:r w:rsidR="00E152A0">
        <w:rPr>
          <w:rFonts w:eastAsia="Times New Roman" w:cstheme="minorHAnsi"/>
          <w:color w:val="000000"/>
        </w:rPr>
        <w:t xml:space="preserve">The jet is collimated from the radio to X-ray bands, </w:t>
      </w:r>
      <w:r w:rsidR="00E152A0" w:rsidRPr="0075010D">
        <w:rPr>
          <w:rFonts w:eastAsia="Times New Roman" w:cstheme="minorHAnsi"/>
          <w:color w:val="000000"/>
        </w:rPr>
        <w:t xml:space="preserve">allowing for a </w:t>
      </w:r>
      <w:r w:rsidR="00E152A0">
        <w:rPr>
          <w:rFonts w:eastAsia="Times New Roman" w:cstheme="minorHAnsi"/>
          <w:color w:val="000000"/>
        </w:rPr>
        <w:t>detailed</w:t>
      </w:r>
      <w:r w:rsidR="00E152A0" w:rsidRPr="0075010D">
        <w:rPr>
          <w:rFonts w:eastAsia="Times New Roman" w:cstheme="minorHAnsi"/>
          <w:color w:val="000000"/>
        </w:rPr>
        <w:t xml:space="preserve"> study of the physical properties of the AGN</w:t>
      </w:r>
      <w:r w:rsidR="00E152A0">
        <w:rPr>
          <w:rFonts w:eastAsia="Times New Roman" w:cstheme="minorHAnsi"/>
          <w:color w:val="000000"/>
        </w:rPr>
        <w:t xml:space="preserve"> at regions close to the supermassive blackhole. </w:t>
      </w:r>
      <w:r w:rsidRPr="0075010D">
        <w:rPr>
          <w:rFonts w:eastAsia="Times New Roman" w:cstheme="minorHAnsi"/>
          <w:color w:val="000000"/>
        </w:rPr>
        <w:t xml:space="preserve">At a redshift of z = 0.158, 3C273 has been extensively studied since its discovery and is highly variable across all energies. The source has been actively monitored since its discovery in 1963 and exhibits a </w:t>
      </w:r>
      <w:r w:rsidR="001B6A8E" w:rsidRPr="0075010D">
        <w:rPr>
          <w:rFonts w:eastAsia="Times New Roman" w:cstheme="minorHAnsi"/>
          <w:color w:val="000000"/>
        </w:rPr>
        <w:t>long-term</w:t>
      </w:r>
      <w:r w:rsidRPr="0075010D">
        <w:rPr>
          <w:rFonts w:eastAsia="Times New Roman" w:cstheme="minorHAnsi"/>
          <w:color w:val="000000"/>
        </w:rPr>
        <w:t xml:space="preserve"> spectral evolution as well as short term variations. 3C273 emits strongly in the γ-ray </w:t>
      </w:r>
      <w:r w:rsidR="001B6A8E" w:rsidRPr="0075010D">
        <w:rPr>
          <w:rFonts w:eastAsia="Times New Roman" w:cstheme="minorHAnsi"/>
          <w:color w:val="000000"/>
        </w:rPr>
        <w:t>band and</w:t>
      </w:r>
      <w:r w:rsidRPr="0075010D">
        <w:rPr>
          <w:rFonts w:eastAsia="Times New Roman" w:cstheme="minorHAnsi"/>
          <w:color w:val="000000"/>
        </w:rPr>
        <w:t xml:space="preserve"> has been consistently observed by Fermi over the years. </w:t>
      </w:r>
      <w:r w:rsidR="001B6A8E" w:rsidRPr="0075010D">
        <w:rPr>
          <w:rFonts w:eastAsia="Times New Roman" w:cstheme="minorHAnsi"/>
          <w:color w:val="000000"/>
        </w:rPr>
        <w:t>At γ-ray energies, flares from the jet dominate the variability of 3C273</w:t>
      </w:r>
      <w:r w:rsidR="001B6A8E">
        <w:rPr>
          <w:rFonts w:eastAsia="Times New Roman" w:cstheme="minorHAnsi"/>
          <w:color w:val="000000"/>
        </w:rPr>
        <w:t xml:space="preserve"> and </w:t>
      </w:r>
      <w:r w:rsidRPr="0075010D">
        <w:rPr>
          <w:rFonts w:eastAsia="Times New Roman" w:cstheme="minorHAnsi"/>
          <w:color w:val="000000"/>
        </w:rPr>
        <w:t xml:space="preserve">Fermi observations on the source reveal </w:t>
      </w:r>
      <w:r w:rsidR="00E152A0">
        <w:rPr>
          <w:rFonts w:eastAsia="Times New Roman" w:cstheme="minorHAnsi"/>
          <w:color w:val="000000"/>
        </w:rPr>
        <w:t xml:space="preserve">interesting </w:t>
      </w:r>
      <w:r w:rsidRPr="0075010D">
        <w:rPr>
          <w:rFonts w:eastAsia="Times New Roman" w:cstheme="minorHAnsi"/>
          <w:color w:val="000000"/>
        </w:rPr>
        <w:t xml:space="preserve">γ-ray flares from the jet. </w:t>
      </w:r>
    </w:p>
    <w:p w14:paraId="73D3C43D" w14:textId="62C1E36E" w:rsidR="00E152A0" w:rsidRDefault="00E152A0" w:rsidP="00E152A0">
      <w:pPr>
        <w:rPr>
          <w:rFonts w:eastAsia="Times New Roman" w:cstheme="minorHAnsi"/>
          <w:color w:val="000000"/>
        </w:rPr>
      </w:pPr>
    </w:p>
    <w:p w14:paraId="433EE36E" w14:textId="5B753BBC" w:rsidR="00E152A0" w:rsidRDefault="00E152A0" w:rsidP="00E152A0">
      <w:pPr>
        <w:rPr>
          <w:rFonts w:eastAsia="Times New Roman" w:cstheme="minorHAnsi"/>
          <w:b/>
          <w:bCs/>
          <w:color w:val="000000"/>
        </w:rPr>
      </w:pPr>
      <w:r w:rsidRPr="00E152A0">
        <w:rPr>
          <w:rFonts w:eastAsia="Times New Roman" w:cstheme="minorHAnsi"/>
          <w:b/>
          <w:bCs/>
          <w:color w:val="000000"/>
        </w:rPr>
        <w:t>Properties of an AGN</w:t>
      </w:r>
    </w:p>
    <w:p w14:paraId="196C4976" w14:textId="757191AA" w:rsidR="00042355" w:rsidRDefault="00E152A0" w:rsidP="00E152A0">
      <w:pPr>
        <w:rPr>
          <w:rFonts w:eastAsia="Times New Roman" w:cstheme="minorHAnsi"/>
          <w:color w:val="000000"/>
        </w:rPr>
      </w:pPr>
      <w:r w:rsidRPr="00E152A0">
        <w:rPr>
          <w:rFonts w:eastAsia="Times New Roman" w:cstheme="minorHAnsi"/>
          <w:color w:val="000000"/>
        </w:rPr>
        <w:tab/>
      </w:r>
      <w:r w:rsidR="00042355">
        <w:rPr>
          <w:rFonts w:eastAsia="Times New Roman" w:cstheme="minorHAnsi"/>
          <w:color w:val="000000"/>
        </w:rPr>
        <w:t xml:space="preserve">The spectrum of </w:t>
      </w:r>
      <w:r w:rsidRPr="00E152A0">
        <w:rPr>
          <w:rFonts w:eastAsia="Times New Roman" w:cstheme="minorHAnsi"/>
          <w:color w:val="000000"/>
        </w:rPr>
        <w:t>3C273 reveal</w:t>
      </w:r>
      <w:r w:rsidR="00042355">
        <w:rPr>
          <w:rFonts w:eastAsia="Times New Roman" w:cstheme="minorHAnsi"/>
          <w:color w:val="000000"/>
        </w:rPr>
        <w:t>s</w:t>
      </w:r>
      <w:r w:rsidRPr="00E152A0">
        <w:rPr>
          <w:rFonts w:eastAsia="Times New Roman" w:cstheme="minorHAnsi"/>
          <w:color w:val="000000"/>
        </w:rPr>
        <w:t xml:space="preserve"> complex spectral features</w:t>
      </w:r>
      <w:r w:rsidR="00042355">
        <w:rPr>
          <w:rFonts w:eastAsia="Times New Roman" w:cstheme="minorHAnsi"/>
          <w:color w:val="000000"/>
        </w:rPr>
        <w:t xml:space="preserve"> including a weak reflection component and a weak neutral iron line. </w:t>
      </w:r>
      <w:r w:rsidR="00042355" w:rsidRPr="00042355">
        <w:rPr>
          <w:rFonts w:eastAsia="Times New Roman" w:cstheme="minorHAnsi"/>
          <w:color w:val="000000"/>
        </w:rPr>
        <w:t xml:space="preserve">The accretion disc emits photons which are inverse Compton scattered by a corona of hot electrons surrounding a super massive black hole. These inverse Compton scattered photons are what form the primary X-ray continuum which can be fitted to a power-law. Reflection off an accretion disk or distant material gives rise to a weak reflection component. The reflection component presents an iron line at 6.4 keV. The </w:t>
      </w:r>
      <w:r w:rsidR="00042355" w:rsidRPr="00042355">
        <w:rPr>
          <w:rFonts w:eastAsia="Times New Roman" w:cstheme="minorHAnsi"/>
          <w:color w:val="000000"/>
        </w:rPr>
        <w:lastRenderedPageBreak/>
        <w:t>continuum shows a high energy rollover which depends on the temperature and optical depth of the hot electron plasma composing the corona.</w:t>
      </w:r>
      <w:r w:rsidR="00042355">
        <w:rPr>
          <w:rFonts w:eastAsia="Times New Roman" w:cstheme="minorHAnsi"/>
          <w:color w:val="000000"/>
        </w:rPr>
        <w:t xml:space="preserve"> </w:t>
      </w:r>
      <w:r w:rsidR="006B19BE">
        <w:rPr>
          <w:rFonts w:eastAsia="Times New Roman" w:cstheme="minorHAnsi"/>
          <w:color w:val="000000"/>
        </w:rPr>
        <w:t>Understanding these properties allows us to fit the spectrum to an appropriate model to further study the source.</w:t>
      </w:r>
    </w:p>
    <w:p w14:paraId="5799C121" w14:textId="77777777" w:rsidR="00042355" w:rsidRDefault="00042355" w:rsidP="00E152A0">
      <w:pPr>
        <w:rPr>
          <w:rFonts w:eastAsia="Times New Roman" w:cstheme="minorHAnsi"/>
          <w:color w:val="000000"/>
        </w:rPr>
      </w:pPr>
    </w:p>
    <w:p w14:paraId="3B818C5D" w14:textId="5DED4A4F" w:rsidR="00E152A0" w:rsidRPr="00042355" w:rsidRDefault="00042355" w:rsidP="00E152A0">
      <w:pPr>
        <w:rPr>
          <w:rFonts w:eastAsia="Times New Roman" w:cstheme="minorHAnsi"/>
          <w:b/>
          <w:bCs/>
          <w:color w:val="000000"/>
        </w:rPr>
      </w:pPr>
      <w:r w:rsidRPr="00042355">
        <w:rPr>
          <w:rFonts w:eastAsia="Times New Roman" w:cstheme="minorHAnsi"/>
          <w:b/>
          <w:bCs/>
          <w:color w:val="000000"/>
        </w:rPr>
        <w:t xml:space="preserve">Fitting the Spectrum </w:t>
      </w:r>
    </w:p>
    <w:p w14:paraId="78848008" w14:textId="17B61D75" w:rsidR="00E152A0" w:rsidRDefault="006B19BE" w:rsidP="00E152A0">
      <w:pPr>
        <w:rPr>
          <w:rFonts w:eastAsia="Times New Roman" w:cstheme="minorHAnsi"/>
          <w:b/>
          <w:bCs/>
          <w:color w:val="000000"/>
        </w:rPr>
      </w:pPr>
      <w:r>
        <w:rPr>
          <w:rFonts w:eastAsia="Times New Roman" w:cstheme="minorHAnsi"/>
          <w:b/>
          <w:bCs/>
          <w:color w:val="000000"/>
        </w:rPr>
        <w:t>** OBSERVATION LOG</w:t>
      </w:r>
    </w:p>
    <w:p w14:paraId="4094D012" w14:textId="1FE0166B" w:rsidR="006B19BE" w:rsidRDefault="006B19BE" w:rsidP="00E152A0">
      <w:pPr>
        <w:rPr>
          <w:rFonts w:eastAsia="Times New Roman" w:cstheme="minorHAnsi"/>
          <w:b/>
          <w:bCs/>
          <w:color w:val="000000"/>
        </w:rPr>
      </w:pPr>
      <w:r>
        <w:rPr>
          <w:rFonts w:eastAsia="Times New Roman" w:cstheme="minorHAnsi"/>
          <w:b/>
          <w:bCs/>
          <w:color w:val="000000"/>
        </w:rPr>
        <w:t>** COMBINED SPECTRUM</w:t>
      </w:r>
    </w:p>
    <w:p w14:paraId="72C8D731" w14:textId="2E8B225B" w:rsidR="006B19BE" w:rsidRPr="00E152A0" w:rsidRDefault="006B19BE" w:rsidP="00E152A0">
      <w:pPr>
        <w:rPr>
          <w:rFonts w:eastAsia="Times New Roman" w:cstheme="minorHAnsi"/>
          <w:b/>
          <w:bCs/>
          <w:color w:val="000000"/>
        </w:rPr>
      </w:pPr>
      <w:r>
        <w:rPr>
          <w:rFonts w:eastAsia="Times New Roman" w:cstheme="minorHAnsi"/>
          <w:b/>
          <w:bCs/>
          <w:color w:val="000000"/>
        </w:rPr>
        <w:t>** TABLE OF STUFF</w:t>
      </w:r>
    </w:p>
    <w:p w14:paraId="4096582F" w14:textId="77777777" w:rsidR="00E152A0" w:rsidRPr="00E152A0" w:rsidRDefault="00E152A0" w:rsidP="00E152A0">
      <w:pPr>
        <w:rPr>
          <w:rFonts w:eastAsia="Times New Roman" w:cstheme="minorHAnsi"/>
          <w:b/>
          <w:bCs/>
          <w:color w:val="000000"/>
        </w:rPr>
      </w:pPr>
    </w:p>
    <w:p w14:paraId="366CCF08" w14:textId="77777777" w:rsidR="00D60643" w:rsidRPr="0075010D" w:rsidRDefault="00D60643" w:rsidP="001B6A8E">
      <w:pPr>
        <w:ind w:firstLine="720"/>
        <w:rPr>
          <w:rFonts w:eastAsia="Times New Roman" w:cstheme="minorHAnsi"/>
        </w:rPr>
      </w:pPr>
    </w:p>
    <w:p w14:paraId="1BBA5A44" w14:textId="77777777" w:rsidR="001B6A8E" w:rsidRDefault="001B6A8E" w:rsidP="0075010D">
      <w:pPr>
        <w:spacing w:after="240"/>
        <w:rPr>
          <w:rFonts w:eastAsia="Times New Roman" w:cstheme="minorHAnsi"/>
        </w:rPr>
      </w:pPr>
    </w:p>
    <w:p w14:paraId="5725AEE7" w14:textId="14ABA13B" w:rsidR="001B6A8E" w:rsidRDefault="001B6A8E" w:rsidP="001B6A8E">
      <w:pPr>
        <w:rPr>
          <w:rFonts w:eastAsia="Times New Roman" w:cstheme="minorHAnsi"/>
          <w:b/>
          <w:bCs/>
          <w:color w:val="333333"/>
          <w:sz w:val="30"/>
          <w:szCs w:val="30"/>
          <w:shd w:val="clear" w:color="auto" w:fill="FFFFFF"/>
        </w:rPr>
      </w:pPr>
      <w:r>
        <w:rPr>
          <w:rFonts w:eastAsia="Times New Roman" w:cstheme="minorHAnsi"/>
          <w:b/>
          <w:bCs/>
          <w:color w:val="333333"/>
          <w:sz w:val="30"/>
          <w:szCs w:val="30"/>
          <w:shd w:val="clear" w:color="auto" w:fill="FFFFFF"/>
        </w:rPr>
        <w:t>Objectives</w:t>
      </w:r>
    </w:p>
    <w:p w14:paraId="1755007F" w14:textId="5769F523" w:rsidR="002A15EC" w:rsidRDefault="002A15EC" w:rsidP="001B6A8E">
      <w:pPr>
        <w:rPr>
          <w:rFonts w:eastAsia="Times New Roman" w:cstheme="minorHAnsi"/>
          <w:b/>
          <w:bCs/>
          <w:color w:val="333333"/>
          <w:sz w:val="30"/>
          <w:szCs w:val="30"/>
          <w:shd w:val="clear" w:color="auto" w:fill="FFFFFF"/>
        </w:rPr>
      </w:pPr>
      <w:r>
        <w:rPr>
          <w:rFonts w:eastAsia="Times New Roman" w:cstheme="minorHAnsi"/>
          <w:b/>
          <w:bCs/>
          <w:color w:val="333333"/>
          <w:sz w:val="30"/>
          <w:szCs w:val="30"/>
          <w:shd w:val="clear" w:color="auto" w:fill="FFFFFF"/>
        </w:rPr>
        <w:t>Main Conclusions</w:t>
      </w:r>
    </w:p>
    <w:p w14:paraId="16EE29D1" w14:textId="50F3054C" w:rsidR="002A15EC" w:rsidRDefault="002A15EC" w:rsidP="001B6A8E">
      <w:pPr>
        <w:rPr>
          <w:rFonts w:eastAsia="Times New Roman" w:cstheme="minorHAnsi"/>
          <w:b/>
          <w:bCs/>
          <w:color w:val="333333"/>
          <w:sz w:val="30"/>
          <w:szCs w:val="30"/>
          <w:shd w:val="clear" w:color="auto" w:fill="FFFFFF"/>
        </w:rPr>
      </w:pPr>
      <w:r>
        <w:rPr>
          <w:rFonts w:eastAsia="Times New Roman" w:cstheme="minorHAnsi"/>
          <w:b/>
          <w:bCs/>
          <w:color w:val="333333"/>
          <w:sz w:val="30"/>
          <w:szCs w:val="30"/>
          <w:shd w:val="clear" w:color="auto" w:fill="FFFFFF"/>
        </w:rPr>
        <w:t>Findings+ Results</w:t>
      </w:r>
    </w:p>
    <w:p w14:paraId="161F25D4" w14:textId="662C7A6D" w:rsidR="002A15EC" w:rsidRDefault="002A15EC" w:rsidP="001B6A8E">
      <w:pPr>
        <w:rPr>
          <w:rFonts w:eastAsia="Times New Roman" w:cstheme="minorHAnsi"/>
          <w:b/>
          <w:bCs/>
          <w:color w:val="333333"/>
          <w:sz w:val="30"/>
          <w:szCs w:val="30"/>
          <w:shd w:val="clear" w:color="auto" w:fill="FFFFFF"/>
        </w:rPr>
      </w:pPr>
      <w:proofErr w:type="spellStart"/>
      <w:r>
        <w:rPr>
          <w:rFonts w:eastAsia="Times New Roman" w:cstheme="minorHAnsi"/>
          <w:b/>
          <w:bCs/>
          <w:color w:val="333333"/>
          <w:sz w:val="30"/>
          <w:szCs w:val="30"/>
          <w:shd w:val="clear" w:color="auto" w:fill="FFFFFF"/>
        </w:rPr>
        <w:t>Implications+relation+future</w:t>
      </w:r>
      <w:proofErr w:type="spellEnd"/>
    </w:p>
    <w:p w14:paraId="5361961E" w14:textId="6F44F583" w:rsidR="002A15EC" w:rsidRPr="0075010D" w:rsidRDefault="002A15EC" w:rsidP="001B6A8E">
      <w:pPr>
        <w:rPr>
          <w:rFonts w:eastAsia="Times New Roman" w:cstheme="minorHAnsi"/>
          <w:b/>
          <w:bCs/>
          <w:sz w:val="30"/>
          <w:szCs w:val="30"/>
        </w:rPr>
      </w:pPr>
      <w:r>
        <w:rPr>
          <w:rFonts w:eastAsia="Times New Roman" w:cstheme="minorHAnsi"/>
          <w:b/>
          <w:bCs/>
          <w:color w:val="333333"/>
          <w:sz w:val="30"/>
          <w:szCs w:val="30"/>
          <w:shd w:val="clear" w:color="auto" w:fill="FFFFFF"/>
        </w:rPr>
        <w:t>Methods??</w:t>
      </w:r>
    </w:p>
    <w:p w14:paraId="44C31458" w14:textId="57AFA43E" w:rsidR="0075010D" w:rsidRPr="0075010D" w:rsidRDefault="0075010D" w:rsidP="0075010D">
      <w:pPr>
        <w:spacing w:after="240"/>
        <w:rPr>
          <w:rFonts w:eastAsia="Times New Roman" w:cstheme="minorHAnsi"/>
        </w:rPr>
      </w:pPr>
      <w:r w:rsidRPr="0075010D">
        <w:rPr>
          <w:rFonts w:eastAsia="Times New Roman" w:cstheme="minorHAnsi"/>
        </w:rPr>
        <w:br/>
      </w:r>
      <w:r w:rsidRPr="0075010D">
        <w:rPr>
          <w:rFonts w:eastAsia="Times New Roman" w:cstheme="minorHAnsi"/>
        </w:rPr>
        <w:br/>
      </w:r>
    </w:p>
    <w:p w14:paraId="0AF03B61" w14:textId="77777777" w:rsidR="0075010D" w:rsidRPr="0075010D" w:rsidRDefault="0075010D" w:rsidP="0075010D">
      <w:pPr>
        <w:rPr>
          <w:rFonts w:eastAsia="Times New Roman" w:cstheme="minorHAnsi"/>
        </w:rPr>
      </w:pPr>
      <w:r w:rsidRPr="0075010D">
        <w:rPr>
          <w:rFonts w:eastAsia="Times New Roman" w:cstheme="minorHAnsi"/>
          <w:color w:val="333333"/>
          <w:shd w:val="clear" w:color="auto" w:fill="FFFFFF"/>
        </w:rPr>
        <w:t xml:space="preserve">Methods. This section should be subdivided by short headings referring to the technique being </w:t>
      </w:r>
      <w:proofErr w:type="gramStart"/>
      <w:r w:rsidRPr="0075010D">
        <w:rPr>
          <w:rFonts w:eastAsia="Times New Roman" w:cstheme="minorHAnsi"/>
          <w:color w:val="333333"/>
          <w:shd w:val="clear" w:color="auto" w:fill="FFFFFF"/>
        </w:rPr>
        <w:t>used</w:t>
      </w:r>
      <w:proofErr w:type="gramEnd"/>
      <w:r w:rsidRPr="0075010D">
        <w:rPr>
          <w:rFonts w:eastAsia="Times New Roman" w:cstheme="minorHAnsi"/>
          <w:color w:val="333333"/>
          <w:shd w:val="clear" w:color="auto" w:fill="FFFFFF"/>
        </w:rPr>
        <w:t xml:space="preserve"> or the experiment being explained. This section is directed toward scientists in the author's field.</w:t>
      </w:r>
    </w:p>
    <w:p w14:paraId="3A0D8DAB" w14:textId="77777777" w:rsidR="0075010D" w:rsidRDefault="0075010D" w:rsidP="0075010D">
      <w:pPr>
        <w:jc w:val="center"/>
        <w:rPr>
          <w:rFonts w:cstheme="minorHAnsi"/>
          <w:i/>
          <w:iCs/>
          <w:sz w:val="26"/>
          <w:szCs w:val="26"/>
        </w:rPr>
      </w:pPr>
      <w:r w:rsidRPr="0075010D">
        <w:rPr>
          <w:rFonts w:ascii="Times New Roman" w:eastAsia="Times New Roman" w:hAnsi="Times New Roman" w:cs="Times New Roman"/>
        </w:rPr>
        <w:br/>
      </w:r>
    </w:p>
    <w:p w14:paraId="73889F72" w14:textId="5F42C3BC" w:rsidR="0075010D" w:rsidRDefault="0075010D" w:rsidP="0075010D">
      <w:pPr>
        <w:jc w:val="center"/>
        <w:rPr>
          <w:rFonts w:cstheme="minorHAnsi"/>
          <w:i/>
          <w:iCs/>
          <w:sz w:val="26"/>
          <w:szCs w:val="26"/>
        </w:rPr>
      </w:pPr>
      <w:r w:rsidRPr="0075010D">
        <w:rPr>
          <w:rFonts w:cstheme="minorHAnsi"/>
          <w:i/>
          <w:iCs/>
          <w:sz w:val="26"/>
          <w:szCs w:val="26"/>
        </w:rPr>
        <w:lastRenderedPageBreak/>
        <w:drawing>
          <wp:inline distT="0" distB="0" distL="0" distR="0" wp14:anchorId="1F5BF57D" wp14:editId="25E58F5C">
            <wp:extent cx="5705779" cy="4351338"/>
            <wp:effectExtent l="0" t="0" r="0" b="5080"/>
            <wp:docPr id="5" name="Content Placeholder 4" descr="Chart, histogram&#10;&#10;Description automatically generated">
              <a:extLst xmlns:a="http://schemas.openxmlformats.org/drawingml/2006/main">
                <a:ext uri="{FF2B5EF4-FFF2-40B4-BE49-F238E27FC236}">
                  <a16:creationId xmlns:a16="http://schemas.microsoft.com/office/drawing/2014/main" id="{CE02E8B7-CBE9-194D-AE8A-D3E4CBED3C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CE02E8B7-CBE9-194D-AE8A-D3E4CBED3C2F}"/>
                        </a:ext>
                      </a:extLst>
                    </pic:cNvPr>
                    <pic:cNvPicPr>
                      <a:picLocks noGrp="1" noChangeAspect="1"/>
                    </pic:cNvPicPr>
                  </pic:nvPicPr>
                  <pic:blipFill>
                    <a:blip r:embed="rId4"/>
                    <a:stretch>
                      <a:fillRect/>
                    </a:stretch>
                  </pic:blipFill>
                  <pic:spPr>
                    <a:xfrm>
                      <a:off x="0" y="0"/>
                      <a:ext cx="5705779" cy="4351338"/>
                    </a:xfrm>
                    <a:prstGeom prst="rect">
                      <a:avLst/>
                    </a:prstGeom>
                  </pic:spPr>
                </pic:pic>
              </a:graphicData>
            </a:graphic>
          </wp:inline>
        </w:drawing>
      </w:r>
    </w:p>
    <w:p w14:paraId="2039DE2F" w14:textId="77777777" w:rsidR="0075010D" w:rsidRDefault="0075010D" w:rsidP="0075010D">
      <w:pPr>
        <w:jc w:val="center"/>
        <w:rPr>
          <w:rFonts w:cstheme="minorHAnsi"/>
          <w:i/>
          <w:iCs/>
          <w:sz w:val="26"/>
          <w:szCs w:val="26"/>
        </w:rPr>
      </w:pPr>
    </w:p>
    <w:p w14:paraId="0CFEAB8A" w14:textId="77777777" w:rsidR="0075010D" w:rsidRDefault="0075010D" w:rsidP="0075010D">
      <w:pPr>
        <w:jc w:val="center"/>
        <w:rPr>
          <w:rFonts w:cstheme="minorHAnsi"/>
          <w:i/>
          <w:iCs/>
          <w:sz w:val="26"/>
          <w:szCs w:val="26"/>
        </w:rPr>
      </w:pPr>
    </w:p>
    <w:p w14:paraId="3609276D" w14:textId="77777777" w:rsidR="0075010D" w:rsidRDefault="0075010D" w:rsidP="0075010D">
      <w:pPr>
        <w:jc w:val="center"/>
        <w:rPr>
          <w:rFonts w:cstheme="minorHAnsi"/>
          <w:i/>
          <w:iCs/>
          <w:sz w:val="26"/>
          <w:szCs w:val="26"/>
        </w:rPr>
      </w:pPr>
    </w:p>
    <w:p w14:paraId="5BB64153" w14:textId="21077466" w:rsidR="0075010D" w:rsidRPr="00080547" w:rsidRDefault="0075010D" w:rsidP="0075010D">
      <w:pPr>
        <w:jc w:val="center"/>
        <w:rPr>
          <w:rFonts w:cstheme="minorHAnsi"/>
          <w:i/>
          <w:iCs/>
          <w:sz w:val="26"/>
          <w:szCs w:val="26"/>
        </w:rPr>
      </w:pPr>
      <w:r w:rsidRPr="00080547">
        <w:rPr>
          <w:rFonts w:cstheme="minorHAnsi"/>
          <w:i/>
          <w:iCs/>
          <w:sz w:val="26"/>
          <w:szCs w:val="26"/>
        </w:rPr>
        <w:t>NuSTAR Continuum Spectral Fits</w:t>
      </w:r>
    </w:p>
    <w:p w14:paraId="79F4FA3F" w14:textId="77777777" w:rsidR="0075010D" w:rsidRDefault="0075010D" w:rsidP="0075010D">
      <w:pPr>
        <w:ind w:left="2160"/>
      </w:pPr>
    </w:p>
    <w:tbl>
      <w:tblPr>
        <w:tblStyle w:val="TableGrid"/>
        <w:tblW w:w="0" w:type="auto"/>
        <w:tblInd w:w="2160" w:type="dxa"/>
        <w:tblBorders>
          <w:left w:val="none" w:sz="0" w:space="0" w:color="auto"/>
          <w:right w:val="none" w:sz="0" w:space="0" w:color="auto"/>
        </w:tblBorders>
        <w:tblLook w:val="04A0" w:firstRow="1" w:lastRow="0" w:firstColumn="1" w:lastColumn="0" w:noHBand="0" w:noVBand="1"/>
      </w:tblPr>
      <w:tblGrid>
        <w:gridCol w:w="3116"/>
        <w:gridCol w:w="1744"/>
      </w:tblGrid>
      <w:tr w:rsidR="0075010D" w14:paraId="2765928B" w14:textId="77777777" w:rsidTr="0075010D">
        <w:trPr>
          <w:trHeight w:val="422"/>
        </w:trPr>
        <w:tc>
          <w:tcPr>
            <w:tcW w:w="3116" w:type="dxa"/>
          </w:tcPr>
          <w:p w14:paraId="46312EB5" w14:textId="77777777" w:rsidR="0075010D" w:rsidRDefault="0075010D" w:rsidP="0075010D">
            <w:r>
              <w:t>Parameter</w:t>
            </w:r>
          </w:p>
        </w:tc>
        <w:tc>
          <w:tcPr>
            <w:tcW w:w="1744" w:type="dxa"/>
          </w:tcPr>
          <w:p w14:paraId="67D9BE47" w14:textId="77777777" w:rsidR="0075010D" w:rsidRDefault="0075010D" w:rsidP="0075010D">
            <w:r>
              <w:t>w/o jet</w:t>
            </w:r>
          </w:p>
        </w:tc>
      </w:tr>
      <w:tr w:rsidR="0075010D" w14:paraId="10D7B61E" w14:textId="77777777" w:rsidTr="0075010D">
        <w:tc>
          <w:tcPr>
            <w:tcW w:w="3116" w:type="dxa"/>
          </w:tcPr>
          <w:p w14:paraId="7EB3B5C9" w14:textId="77777777" w:rsidR="0075010D" w:rsidRPr="004C542E" w:rsidRDefault="0075010D" w:rsidP="0075010D">
            <w:pPr>
              <w:rPr>
                <w:b/>
                <w:bCs/>
              </w:rPr>
            </w:pPr>
            <w:r>
              <w:rPr>
                <w:b/>
                <w:bCs/>
              </w:rPr>
              <w:t>zpowerlaw</w:t>
            </w:r>
          </w:p>
        </w:tc>
        <w:tc>
          <w:tcPr>
            <w:tcW w:w="1744" w:type="dxa"/>
          </w:tcPr>
          <w:p w14:paraId="4F51D14F" w14:textId="77777777" w:rsidR="0075010D" w:rsidRDefault="0075010D" w:rsidP="0075010D">
            <w:r>
              <w:t>(3595 dof)</w:t>
            </w:r>
          </w:p>
        </w:tc>
      </w:tr>
      <w:tr w:rsidR="0075010D" w14:paraId="2D7BDF14" w14:textId="77777777" w:rsidTr="0075010D">
        <w:tc>
          <w:tcPr>
            <w:tcW w:w="3116" w:type="dxa"/>
          </w:tcPr>
          <w:p w14:paraId="3E725E63" w14:textId="77777777" w:rsidR="0075010D" w:rsidRDefault="0075010D" w:rsidP="0075010D">
            <w:r w:rsidRPr="00080547">
              <w:t>χ2red</w:t>
            </w:r>
          </w:p>
          <w:p w14:paraId="449BCC5D" w14:textId="77777777" w:rsidR="0075010D" w:rsidRPr="007C2A5A" w:rsidRDefault="0075010D" w:rsidP="0075010D">
            <w:r w:rsidRPr="00080547">
              <w:t>Γ</w:t>
            </w:r>
          </w:p>
        </w:tc>
        <w:tc>
          <w:tcPr>
            <w:tcW w:w="1744" w:type="dxa"/>
          </w:tcPr>
          <w:p w14:paraId="27FBE1CE" w14:textId="77777777" w:rsidR="0075010D" w:rsidRDefault="0075010D" w:rsidP="0075010D">
            <w:r>
              <w:t>1.125</w:t>
            </w:r>
          </w:p>
          <w:p w14:paraId="05126365" w14:textId="77777777" w:rsidR="0075010D" w:rsidRDefault="0075010D" w:rsidP="0075010D">
            <w:r>
              <w:t>1.66</w:t>
            </w:r>
            <w:r w:rsidRPr="00EA4C60">
              <w:t>±</w:t>
            </w:r>
            <w:r>
              <w:t xml:space="preserve"> 0.003</w:t>
            </w:r>
          </w:p>
        </w:tc>
      </w:tr>
      <w:tr w:rsidR="0075010D" w14:paraId="2491B5E7" w14:textId="77777777" w:rsidTr="0075010D">
        <w:tc>
          <w:tcPr>
            <w:tcW w:w="3116" w:type="dxa"/>
          </w:tcPr>
          <w:p w14:paraId="0429BD63" w14:textId="77777777" w:rsidR="0075010D" w:rsidRPr="004C542E" w:rsidRDefault="0075010D" w:rsidP="0075010D">
            <w:pPr>
              <w:rPr>
                <w:b/>
                <w:bCs/>
              </w:rPr>
            </w:pPr>
            <w:r w:rsidRPr="004C542E">
              <w:rPr>
                <w:b/>
                <w:bCs/>
              </w:rPr>
              <w:t>pexrav</w:t>
            </w:r>
          </w:p>
        </w:tc>
        <w:tc>
          <w:tcPr>
            <w:tcW w:w="1744" w:type="dxa"/>
          </w:tcPr>
          <w:p w14:paraId="50533E81" w14:textId="77777777" w:rsidR="0075010D" w:rsidRDefault="0075010D" w:rsidP="0075010D">
            <w:r>
              <w:t>(1928 dof)</w:t>
            </w:r>
          </w:p>
        </w:tc>
      </w:tr>
      <w:tr w:rsidR="0075010D" w14:paraId="2FA80F8B" w14:textId="77777777" w:rsidTr="0075010D">
        <w:trPr>
          <w:trHeight w:val="1367"/>
        </w:trPr>
        <w:tc>
          <w:tcPr>
            <w:tcW w:w="3116" w:type="dxa"/>
          </w:tcPr>
          <w:p w14:paraId="04FC2CFF" w14:textId="77777777" w:rsidR="0075010D" w:rsidRDefault="0075010D" w:rsidP="0075010D">
            <w:r w:rsidRPr="00080547">
              <w:t>χ2red</w:t>
            </w:r>
          </w:p>
          <w:p w14:paraId="5956F074" w14:textId="77777777" w:rsidR="0075010D" w:rsidRDefault="0075010D" w:rsidP="0075010D">
            <w:r w:rsidRPr="00080547">
              <w:t>Γ</w:t>
            </w:r>
          </w:p>
          <w:p w14:paraId="7753665B" w14:textId="77777777" w:rsidR="0075010D" w:rsidRDefault="0075010D" w:rsidP="0075010D">
            <w:r w:rsidRPr="00080547">
              <w:t>E</w:t>
            </w:r>
            <w:r>
              <w:t xml:space="preserve"> </w:t>
            </w:r>
            <w:r w:rsidRPr="00080547">
              <w:t>cutoff</w:t>
            </w:r>
          </w:p>
          <w:p w14:paraId="558AB78E" w14:textId="77777777" w:rsidR="0075010D" w:rsidRDefault="0075010D" w:rsidP="0075010D">
            <w:r w:rsidRPr="00080547">
              <w:t>Relative reflection</w:t>
            </w:r>
          </w:p>
        </w:tc>
        <w:tc>
          <w:tcPr>
            <w:tcW w:w="1744" w:type="dxa"/>
          </w:tcPr>
          <w:p w14:paraId="45B09E39" w14:textId="77777777" w:rsidR="0075010D" w:rsidRDefault="0075010D" w:rsidP="0075010D">
            <w:r>
              <w:t>1.015</w:t>
            </w:r>
          </w:p>
          <w:p w14:paraId="23B2D02B" w14:textId="77777777" w:rsidR="0075010D" w:rsidRDefault="0075010D" w:rsidP="0075010D">
            <w:r>
              <w:t>1.62</w:t>
            </w:r>
            <w:r w:rsidRPr="00EA4C60">
              <w:t>±</w:t>
            </w:r>
            <w:r>
              <w:t xml:space="preserve"> 0.01</w:t>
            </w:r>
          </w:p>
          <w:p w14:paraId="1DE8C4D6" w14:textId="77777777" w:rsidR="0075010D" w:rsidRPr="005B500D" w:rsidRDefault="0075010D" w:rsidP="0075010D">
            <w:r>
              <w:t>218</w:t>
            </w:r>
            <w:r>
              <w:rPr>
                <w:vertAlign w:val="superscript"/>
              </w:rPr>
              <w:t>+34</w:t>
            </w:r>
            <w:r>
              <w:rPr>
                <w:vertAlign w:val="subscript"/>
              </w:rPr>
              <w:t xml:space="preserve">-26 </w:t>
            </w:r>
            <w:r>
              <w:t>keV</w:t>
            </w:r>
          </w:p>
          <w:p w14:paraId="05D3F699" w14:textId="77777777" w:rsidR="0075010D" w:rsidRPr="005B500D" w:rsidRDefault="0075010D" w:rsidP="0075010D">
            <w:r>
              <w:t>.104</w:t>
            </w:r>
            <w:r w:rsidRPr="00EA4C60">
              <w:t>±</w:t>
            </w:r>
            <w:r>
              <w:t xml:space="preserve"> 0.03</w:t>
            </w:r>
          </w:p>
        </w:tc>
      </w:tr>
      <w:tr w:rsidR="0075010D" w14:paraId="46AADB80" w14:textId="77777777" w:rsidTr="0075010D">
        <w:trPr>
          <w:trHeight w:val="341"/>
        </w:trPr>
        <w:tc>
          <w:tcPr>
            <w:tcW w:w="3116" w:type="dxa"/>
          </w:tcPr>
          <w:p w14:paraId="5D6917AB" w14:textId="77777777" w:rsidR="0075010D" w:rsidRPr="00080547" w:rsidRDefault="0075010D" w:rsidP="0075010D">
            <w:pPr>
              <w:rPr>
                <w:b/>
                <w:bCs/>
              </w:rPr>
            </w:pPr>
            <w:r w:rsidRPr="00080547">
              <w:rPr>
                <w:b/>
                <w:bCs/>
              </w:rPr>
              <w:t>pexrav+zgauss</w:t>
            </w:r>
          </w:p>
        </w:tc>
        <w:tc>
          <w:tcPr>
            <w:tcW w:w="1744" w:type="dxa"/>
          </w:tcPr>
          <w:p w14:paraId="23BDE299" w14:textId="77777777" w:rsidR="0075010D" w:rsidRDefault="0075010D" w:rsidP="0075010D">
            <w:r>
              <w:t>(1926 dof)</w:t>
            </w:r>
          </w:p>
        </w:tc>
      </w:tr>
      <w:tr w:rsidR="0075010D" w14:paraId="45D3A826" w14:textId="77777777" w:rsidTr="0075010D">
        <w:trPr>
          <w:trHeight w:val="1961"/>
        </w:trPr>
        <w:tc>
          <w:tcPr>
            <w:tcW w:w="3116" w:type="dxa"/>
          </w:tcPr>
          <w:p w14:paraId="23B3A820" w14:textId="50D8B6D6" w:rsidR="0075010D" w:rsidRDefault="0075010D" w:rsidP="0075010D">
            <w:r w:rsidRPr="00080547">
              <w:lastRenderedPageBreak/>
              <w:t>χ2red</w:t>
            </w:r>
          </w:p>
          <w:p w14:paraId="3E45994F" w14:textId="24EB0C6E" w:rsidR="0075010D" w:rsidRDefault="0075010D" w:rsidP="0075010D">
            <w:r w:rsidRPr="00080547">
              <w:t>Γ</w:t>
            </w:r>
          </w:p>
          <w:p w14:paraId="0F1742B2" w14:textId="6848A5E2" w:rsidR="0075010D" w:rsidRDefault="0075010D" w:rsidP="0075010D">
            <w:r w:rsidRPr="00080547">
              <w:t>E</w:t>
            </w:r>
            <w:r>
              <w:t xml:space="preserve"> </w:t>
            </w:r>
            <w:r w:rsidRPr="00080547">
              <w:t>cutoff</w:t>
            </w:r>
          </w:p>
          <w:p w14:paraId="0A6655B9" w14:textId="77777777" w:rsidR="0075010D" w:rsidRDefault="0075010D" w:rsidP="0075010D">
            <w:r w:rsidRPr="00080547">
              <w:t>Relative reflection</w:t>
            </w:r>
          </w:p>
          <w:p w14:paraId="12F35062" w14:textId="4610CBB5" w:rsidR="0075010D" w:rsidRDefault="0075010D" w:rsidP="0075010D">
            <w:r w:rsidRPr="00080547">
              <w:t>Line Energy (fixed)</w:t>
            </w:r>
          </w:p>
          <w:p w14:paraId="1B5F7F98" w14:textId="77777777" w:rsidR="0075010D" w:rsidRDefault="0075010D" w:rsidP="0075010D">
            <w:r w:rsidRPr="00080547">
              <w:t>Line width σ</w:t>
            </w:r>
          </w:p>
        </w:tc>
        <w:tc>
          <w:tcPr>
            <w:tcW w:w="1744" w:type="dxa"/>
          </w:tcPr>
          <w:p w14:paraId="39AEA257" w14:textId="77777777" w:rsidR="0075010D" w:rsidRDefault="0075010D" w:rsidP="0075010D">
            <w:r>
              <w:t>1.010</w:t>
            </w:r>
          </w:p>
          <w:p w14:paraId="7B96BF50" w14:textId="77777777" w:rsidR="0075010D" w:rsidRDefault="0075010D" w:rsidP="0075010D">
            <w:r>
              <w:t>1.62</w:t>
            </w:r>
            <w:r w:rsidRPr="00EA4C60">
              <w:t>±</w:t>
            </w:r>
            <w:r>
              <w:t xml:space="preserve"> 0.003</w:t>
            </w:r>
          </w:p>
          <w:p w14:paraId="61366CDA" w14:textId="77777777" w:rsidR="0075010D" w:rsidRPr="00D27343" w:rsidRDefault="0075010D" w:rsidP="0075010D">
            <w:pPr>
              <w:rPr>
                <w:vertAlign w:val="subscript"/>
              </w:rPr>
            </w:pPr>
            <w:r>
              <w:t>218</w:t>
            </w:r>
            <w:r>
              <w:rPr>
                <w:vertAlign w:val="superscript"/>
              </w:rPr>
              <w:t>34</w:t>
            </w:r>
            <w:r>
              <w:rPr>
                <w:vertAlign w:val="subscript"/>
              </w:rPr>
              <w:t>26</w:t>
            </w:r>
          </w:p>
          <w:p w14:paraId="7FFACCB8" w14:textId="77777777" w:rsidR="0075010D" w:rsidRDefault="0075010D" w:rsidP="0075010D">
            <w:r>
              <w:t>.099</w:t>
            </w:r>
            <w:r w:rsidRPr="00EA4C60">
              <w:t>±</w:t>
            </w:r>
            <w:r>
              <w:t xml:space="preserve"> 0.03</w:t>
            </w:r>
          </w:p>
          <w:p w14:paraId="538CB3C4" w14:textId="77777777" w:rsidR="0075010D" w:rsidRDefault="0075010D" w:rsidP="0075010D">
            <w:r>
              <w:t>6.40 keV</w:t>
            </w:r>
          </w:p>
          <w:p w14:paraId="57D94908" w14:textId="77777777" w:rsidR="0075010D" w:rsidRPr="00A26B1D" w:rsidRDefault="0075010D" w:rsidP="0075010D">
            <w:pPr>
              <w:rPr>
                <w:vertAlign w:val="subscript"/>
              </w:rPr>
            </w:pPr>
            <w:r>
              <w:t>.43</w:t>
            </w:r>
            <w:r>
              <w:rPr>
                <w:vertAlign w:val="superscript"/>
              </w:rPr>
              <w:t>+1.05</w:t>
            </w:r>
            <w:r>
              <w:rPr>
                <w:vertAlign w:val="subscript"/>
              </w:rPr>
              <w:t>-.32</w:t>
            </w:r>
          </w:p>
        </w:tc>
      </w:tr>
      <w:tr w:rsidR="0075010D" w14:paraId="6BBAF8F5" w14:textId="77777777" w:rsidTr="0075010D">
        <w:trPr>
          <w:trHeight w:val="350"/>
        </w:trPr>
        <w:tc>
          <w:tcPr>
            <w:tcW w:w="3116" w:type="dxa"/>
          </w:tcPr>
          <w:p w14:paraId="63E69763" w14:textId="77777777" w:rsidR="0075010D" w:rsidRPr="00080547" w:rsidRDefault="0075010D" w:rsidP="0075010D">
            <w:pPr>
              <w:rPr>
                <w:b/>
                <w:bCs/>
              </w:rPr>
            </w:pPr>
            <w:r w:rsidRPr="00080547">
              <w:rPr>
                <w:b/>
                <w:bCs/>
              </w:rPr>
              <w:t>pexmon</w:t>
            </w:r>
          </w:p>
        </w:tc>
        <w:tc>
          <w:tcPr>
            <w:tcW w:w="1744" w:type="dxa"/>
          </w:tcPr>
          <w:p w14:paraId="204AAC26" w14:textId="77777777" w:rsidR="0075010D" w:rsidRDefault="0075010D" w:rsidP="0075010D">
            <w:r>
              <w:t>(1928 dof)</w:t>
            </w:r>
          </w:p>
        </w:tc>
      </w:tr>
      <w:tr w:rsidR="0075010D" w14:paraId="0723D7F9" w14:textId="77777777" w:rsidTr="0075010D">
        <w:trPr>
          <w:trHeight w:val="1232"/>
        </w:trPr>
        <w:tc>
          <w:tcPr>
            <w:tcW w:w="3116" w:type="dxa"/>
          </w:tcPr>
          <w:p w14:paraId="7EEDAFF5" w14:textId="0D63BB38" w:rsidR="0075010D" w:rsidRDefault="0075010D" w:rsidP="0075010D">
            <w:r w:rsidRPr="00080547">
              <w:t>χ2red</w:t>
            </w:r>
          </w:p>
          <w:p w14:paraId="7F844C00" w14:textId="77777777" w:rsidR="0075010D" w:rsidRDefault="0075010D" w:rsidP="0075010D">
            <w:r w:rsidRPr="00080547">
              <w:t>Γ</w:t>
            </w:r>
          </w:p>
          <w:p w14:paraId="1164A1E6" w14:textId="46120C5D" w:rsidR="0075010D" w:rsidRDefault="0075010D" w:rsidP="0075010D">
            <w:r>
              <w:t>E cutoff</w:t>
            </w:r>
          </w:p>
          <w:p w14:paraId="5CA3BECF" w14:textId="77777777" w:rsidR="0075010D" w:rsidRPr="00080547" w:rsidRDefault="0075010D" w:rsidP="0075010D">
            <w:r w:rsidRPr="00080547">
              <w:t>Relative Reflection</w:t>
            </w:r>
          </w:p>
        </w:tc>
        <w:tc>
          <w:tcPr>
            <w:tcW w:w="1744" w:type="dxa"/>
          </w:tcPr>
          <w:p w14:paraId="10DBE544" w14:textId="77777777" w:rsidR="0075010D" w:rsidRDefault="0075010D" w:rsidP="0075010D">
            <w:r>
              <w:t>1.010</w:t>
            </w:r>
          </w:p>
          <w:p w14:paraId="5EF721EA" w14:textId="77777777" w:rsidR="0075010D" w:rsidRDefault="0075010D" w:rsidP="0075010D">
            <w:r>
              <w:t>1.62</w:t>
            </w:r>
            <w:r w:rsidRPr="00EA4C60">
              <w:t>±</w:t>
            </w:r>
            <w:r>
              <w:t xml:space="preserve"> 0.009</w:t>
            </w:r>
          </w:p>
          <w:p w14:paraId="49DD0166" w14:textId="77777777" w:rsidR="0075010D" w:rsidRPr="001810F8" w:rsidRDefault="0075010D" w:rsidP="0075010D">
            <w:pPr>
              <w:rPr>
                <w:vertAlign w:val="subscript"/>
              </w:rPr>
            </w:pPr>
            <w:r>
              <w:t>216</w:t>
            </w:r>
            <w:r>
              <w:rPr>
                <w:vertAlign w:val="superscript"/>
              </w:rPr>
              <w:t>32</w:t>
            </w:r>
            <w:r>
              <w:rPr>
                <w:vertAlign w:val="subscript"/>
              </w:rPr>
              <w:t>25</w:t>
            </w:r>
          </w:p>
          <w:p w14:paraId="3E8B7567" w14:textId="77777777" w:rsidR="0075010D" w:rsidRDefault="0075010D" w:rsidP="0075010D">
            <w:r>
              <w:t>.063</w:t>
            </w:r>
            <w:r w:rsidRPr="00EA4C60">
              <w:t>±</w:t>
            </w:r>
            <w:r>
              <w:t xml:space="preserve"> 0.02</w:t>
            </w:r>
          </w:p>
        </w:tc>
      </w:tr>
    </w:tbl>
    <w:p w14:paraId="3D22AFB0" w14:textId="1C7BFB2D" w:rsidR="0075010D" w:rsidRDefault="0075010D" w:rsidP="0075010D">
      <w:pPr>
        <w:spacing w:after="240"/>
        <w:rPr>
          <w:rFonts w:ascii="Times New Roman" w:eastAsia="Times New Roman" w:hAnsi="Times New Roman" w:cs="Times New Roman"/>
        </w:rPr>
      </w:pPr>
      <w:r w:rsidRPr="0075010D">
        <w:rPr>
          <w:rFonts w:ascii="Times New Roman" w:eastAsia="Times New Roman" w:hAnsi="Times New Roman" w:cs="Times New Roman"/>
        </w:rPr>
        <w:br/>
      </w:r>
    </w:p>
    <w:p w14:paraId="5B5FAF22" w14:textId="77777777" w:rsidR="0075010D" w:rsidRDefault="0075010D">
      <w:pPr>
        <w:rPr>
          <w:rFonts w:ascii="Times New Roman" w:eastAsia="Times New Roman" w:hAnsi="Times New Roman" w:cs="Times New Roman"/>
        </w:rPr>
      </w:pPr>
      <w:r>
        <w:rPr>
          <w:rFonts w:ascii="Times New Roman" w:eastAsia="Times New Roman" w:hAnsi="Times New Roman" w:cs="Times New Roman"/>
        </w:rPr>
        <w:br w:type="page"/>
      </w:r>
    </w:p>
    <w:p w14:paraId="5EFC9F66" w14:textId="77777777" w:rsidR="0075010D" w:rsidRDefault="0075010D" w:rsidP="0075010D">
      <w:pPr>
        <w:spacing w:after="240"/>
        <w:rPr>
          <w:rFonts w:ascii="Times New Roman" w:eastAsia="Times New Roman" w:hAnsi="Times New Roman" w:cs="Times New Roman"/>
        </w:rPr>
      </w:pPr>
    </w:p>
    <w:p w14:paraId="56456CC0" w14:textId="4069F690" w:rsidR="0075010D" w:rsidRDefault="0075010D" w:rsidP="0075010D">
      <w:pPr>
        <w:spacing w:after="240"/>
        <w:rPr>
          <w:rFonts w:ascii="Times New Roman" w:eastAsia="Times New Roman" w:hAnsi="Times New Roman" w:cs="Times New Roman"/>
        </w:rPr>
      </w:pPr>
    </w:p>
    <w:p w14:paraId="3C24D2F8" w14:textId="77777777" w:rsidR="0075010D" w:rsidRPr="0075010D" w:rsidRDefault="0075010D" w:rsidP="0075010D">
      <w:pPr>
        <w:spacing w:after="240"/>
        <w:rPr>
          <w:rFonts w:ascii="Times New Roman" w:eastAsia="Times New Roman" w:hAnsi="Times New Roman" w:cs="Times New Roman"/>
        </w:rPr>
      </w:pPr>
    </w:p>
    <w:p w14:paraId="566B7679" w14:textId="5FAF3936" w:rsidR="0075010D" w:rsidRDefault="0075010D" w:rsidP="0075010D">
      <w:pPr>
        <w:rPr>
          <w:rFonts w:ascii="Times New Roman" w:eastAsia="Times New Roman" w:hAnsi="Times New Roman" w:cs="Times New Roman"/>
        </w:rPr>
      </w:pPr>
    </w:p>
    <w:p w14:paraId="6032C1CE" w14:textId="0D78BBDE" w:rsidR="0075010D" w:rsidRDefault="0075010D">
      <w:pPr>
        <w:rPr>
          <w:rFonts w:ascii="Times New Roman" w:eastAsia="Times New Roman" w:hAnsi="Times New Roman" w:cs="Times New Roman"/>
        </w:rPr>
      </w:pPr>
      <w:r>
        <w:rPr>
          <w:rFonts w:ascii="Times New Roman" w:eastAsia="Times New Roman" w:hAnsi="Times New Roman" w:cs="Times New Roman"/>
        </w:rPr>
        <w:br w:type="page"/>
      </w:r>
    </w:p>
    <w:p w14:paraId="1008C1B0" w14:textId="77777777" w:rsidR="0075010D" w:rsidRDefault="0075010D" w:rsidP="0075010D">
      <w:pPr>
        <w:rPr>
          <w:rFonts w:ascii="Times New Roman" w:eastAsia="Times New Roman" w:hAnsi="Times New Roman" w:cs="Times New Roman"/>
        </w:rPr>
      </w:pPr>
    </w:p>
    <w:p w14:paraId="5C8D5E7A" w14:textId="77777777" w:rsidR="0075010D" w:rsidRPr="0075010D" w:rsidRDefault="0075010D" w:rsidP="0075010D">
      <w:pPr>
        <w:rPr>
          <w:rFonts w:ascii="Times New Roman" w:eastAsia="Times New Roman" w:hAnsi="Times New Roman" w:cs="Times New Roman"/>
        </w:rPr>
      </w:pPr>
    </w:p>
    <w:p w14:paraId="29550F3C" w14:textId="0CB0B923" w:rsidR="0075010D" w:rsidRDefault="0075010D"/>
    <w:p w14:paraId="46A2CB9C" w14:textId="110C3247" w:rsidR="009D7282" w:rsidRDefault="0075010D">
      <w:pPr>
        <w:rPr>
          <w:noProof/>
        </w:rPr>
      </w:pPr>
      <w:r w:rsidRPr="0075010D">
        <w:rPr>
          <w:noProof/>
        </w:rPr>
        <w:t xml:space="preserve"> </w:t>
      </w:r>
    </w:p>
    <w:p w14:paraId="7BDAD735" w14:textId="523C6DBD" w:rsidR="0075010D" w:rsidRDefault="0075010D"/>
    <w:p w14:paraId="448C8795" w14:textId="77777777" w:rsidR="0075010D" w:rsidRDefault="0075010D"/>
    <w:p w14:paraId="7827509A" w14:textId="77777777" w:rsidR="0075010D" w:rsidRDefault="0075010D"/>
    <w:p w14:paraId="5EC03B60" w14:textId="77777777" w:rsidR="0075010D" w:rsidRDefault="0075010D"/>
    <w:p w14:paraId="7DD73141" w14:textId="3629566D" w:rsidR="0075010D" w:rsidRDefault="0075010D"/>
    <w:sectPr w:rsidR="0075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0D"/>
    <w:rsid w:val="00042355"/>
    <w:rsid w:val="001B6A8E"/>
    <w:rsid w:val="002A15EC"/>
    <w:rsid w:val="003B705F"/>
    <w:rsid w:val="006B19BE"/>
    <w:rsid w:val="0075010D"/>
    <w:rsid w:val="009D7282"/>
    <w:rsid w:val="00D60643"/>
    <w:rsid w:val="00E1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A43C4"/>
  <w15:chartTrackingRefBased/>
  <w15:docId w15:val="{F35A4706-2F95-DD40-AD20-C3C81DD0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10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50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0705">
      <w:bodyDiv w:val="1"/>
      <w:marLeft w:val="0"/>
      <w:marRight w:val="0"/>
      <w:marTop w:val="0"/>
      <w:marBottom w:val="0"/>
      <w:divBdr>
        <w:top w:val="none" w:sz="0" w:space="0" w:color="auto"/>
        <w:left w:val="none" w:sz="0" w:space="0" w:color="auto"/>
        <w:bottom w:val="none" w:sz="0" w:space="0" w:color="auto"/>
        <w:right w:val="none" w:sz="0" w:space="0" w:color="auto"/>
      </w:divBdr>
    </w:div>
    <w:div w:id="631520671">
      <w:bodyDiv w:val="1"/>
      <w:marLeft w:val="0"/>
      <w:marRight w:val="0"/>
      <w:marTop w:val="0"/>
      <w:marBottom w:val="0"/>
      <w:divBdr>
        <w:top w:val="none" w:sz="0" w:space="0" w:color="auto"/>
        <w:left w:val="none" w:sz="0" w:space="0" w:color="auto"/>
        <w:bottom w:val="none" w:sz="0" w:space="0" w:color="auto"/>
        <w:right w:val="none" w:sz="0" w:space="0" w:color="auto"/>
      </w:divBdr>
    </w:div>
    <w:div w:id="1178538980">
      <w:bodyDiv w:val="1"/>
      <w:marLeft w:val="0"/>
      <w:marRight w:val="0"/>
      <w:marTop w:val="0"/>
      <w:marBottom w:val="0"/>
      <w:divBdr>
        <w:top w:val="none" w:sz="0" w:space="0" w:color="auto"/>
        <w:left w:val="none" w:sz="0" w:space="0" w:color="auto"/>
        <w:bottom w:val="none" w:sz="0" w:space="0" w:color="auto"/>
        <w:right w:val="none" w:sz="0" w:space="0" w:color="auto"/>
      </w:divBdr>
    </w:div>
    <w:div w:id="1511140936">
      <w:bodyDiv w:val="1"/>
      <w:marLeft w:val="0"/>
      <w:marRight w:val="0"/>
      <w:marTop w:val="0"/>
      <w:marBottom w:val="0"/>
      <w:divBdr>
        <w:top w:val="none" w:sz="0" w:space="0" w:color="auto"/>
        <w:left w:val="none" w:sz="0" w:space="0" w:color="auto"/>
        <w:bottom w:val="none" w:sz="0" w:space="0" w:color="auto"/>
        <w:right w:val="none" w:sz="0" w:space="0" w:color="auto"/>
      </w:divBdr>
    </w:div>
    <w:div w:id="162492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Lena M.</dc:creator>
  <cp:keywords/>
  <dc:description/>
  <cp:lastModifiedBy>Wu, Lena M.</cp:lastModifiedBy>
  <cp:revision>1</cp:revision>
  <dcterms:created xsi:type="dcterms:W3CDTF">2021-09-24T20:35:00Z</dcterms:created>
  <dcterms:modified xsi:type="dcterms:W3CDTF">2021-09-24T22:24:00Z</dcterms:modified>
</cp:coreProperties>
</file>